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10772"/>
      </w:tblGrid>
      <w:tr w:rsidR="00635409" w:rsidRPr="00DA44B3" w:rsidTr="00BE0224">
        <w:tc>
          <w:tcPr>
            <w:tcW w:w="15920" w:type="dxa"/>
          </w:tcPr>
          <w:p w:rsidR="00635409" w:rsidRPr="0092580D" w:rsidRDefault="00635409" w:rsidP="00BE0224">
            <w:pPr>
              <w:pStyle w:val="a5"/>
              <w:spacing w:line="312" w:lineRule="auto"/>
              <w:jc w:val="both"/>
            </w:pPr>
            <w:r w:rsidRPr="0092580D">
              <w:t xml:space="preserve">                    </w:t>
            </w:r>
          </w:p>
          <w:p w:rsidR="00B2043E" w:rsidRPr="0092580D" w:rsidRDefault="00B2043E" w:rsidP="00B2043E">
            <w:pPr>
              <w:pStyle w:val="a5"/>
              <w:spacing w:line="312" w:lineRule="auto"/>
              <w:jc w:val="center"/>
              <w:rPr>
                <w:b/>
                <w:lang w:val="ru-RU"/>
              </w:rPr>
            </w:pPr>
            <w:proofErr w:type="spellStart"/>
            <w:r w:rsidRPr="0092580D">
              <w:rPr>
                <w:b/>
                <w:lang w:val="ru-RU"/>
              </w:rPr>
              <w:t>Витяг</w:t>
            </w:r>
            <w:proofErr w:type="spellEnd"/>
            <w:r w:rsidRPr="0092580D">
              <w:rPr>
                <w:b/>
                <w:lang w:val="ru-RU"/>
              </w:rPr>
              <w:t xml:space="preserve"> </w:t>
            </w:r>
            <w:proofErr w:type="spellStart"/>
            <w:r w:rsidRPr="0092580D">
              <w:rPr>
                <w:b/>
                <w:lang w:val="ru-RU"/>
              </w:rPr>
              <w:t>щодо</w:t>
            </w:r>
            <w:proofErr w:type="spellEnd"/>
            <w:r w:rsidRPr="0092580D">
              <w:rPr>
                <w:b/>
                <w:lang w:val="ru-RU"/>
              </w:rPr>
              <w:t xml:space="preserve"> </w:t>
            </w:r>
            <w:proofErr w:type="spellStart"/>
            <w:r w:rsidRPr="0092580D">
              <w:rPr>
                <w:b/>
                <w:lang w:val="ru-RU"/>
              </w:rPr>
              <w:t>основних</w:t>
            </w:r>
            <w:proofErr w:type="spellEnd"/>
            <w:r w:rsidRPr="0092580D">
              <w:rPr>
                <w:b/>
                <w:lang w:val="ru-RU"/>
              </w:rPr>
              <w:t xml:space="preserve"> </w:t>
            </w:r>
            <w:proofErr w:type="spellStart"/>
            <w:r w:rsidRPr="0092580D">
              <w:rPr>
                <w:b/>
                <w:lang w:val="ru-RU"/>
              </w:rPr>
              <w:t>положень</w:t>
            </w:r>
            <w:proofErr w:type="spellEnd"/>
            <w:r w:rsidRPr="0092580D">
              <w:rPr>
                <w:b/>
                <w:lang w:val="ru-RU"/>
              </w:rPr>
              <w:t xml:space="preserve"> </w:t>
            </w:r>
            <w:proofErr w:type="spellStart"/>
            <w:r w:rsidRPr="0092580D">
              <w:rPr>
                <w:b/>
                <w:lang w:val="ru-RU"/>
              </w:rPr>
              <w:t>Концепції</w:t>
            </w:r>
            <w:proofErr w:type="spellEnd"/>
            <w:r w:rsidRPr="0092580D">
              <w:rPr>
                <w:b/>
                <w:lang w:val="ru-RU"/>
              </w:rPr>
              <w:t xml:space="preserve"> «Реформа </w:t>
            </w:r>
            <w:proofErr w:type="spellStart"/>
            <w:r w:rsidRPr="0092580D">
              <w:rPr>
                <w:b/>
                <w:lang w:val="ru-RU"/>
              </w:rPr>
              <w:t>інфрастуктури</w:t>
            </w:r>
            <w:proofErr w:type="spellEnd"/>
            <w:r w:rsidRPr="0092580D">
              <w:rPr>
                <w:b/>
                <w:lang w:val="ru-RU"/>
              </w:rPr>
              <w:t xml:space="preserve"> </w:t>
            </w:r>
            <w:proofErr w:type="spellStart"/>
            <w:r w:rsidRPr="0092580D">
              <w:rPr>
                <w:b/>
                <w:lang w:val="ru-RU"/>
              </w:rPr>
              <w:t>ринків</w:t>
            </w:r>
            <w:proofErr w:type="spellEnd"/>
            <w:r w:rsidRPr="0092580D">
              <w:rPr>
                <w:b/>
                <w:lang w:val="ru-RU"/>
              </w:rPr>
              <w:t xml:space="preserve"> </w:t>
            </w:r>
            <w:proofErr w:type="spellStart"/>
            <w:r w:rsidRPr="0092580D">
              <w:rPr>
                <w:b/>
                <w:lang w:val="ru-RU"/>
              </w:rPr>
              <w:t>капіталу</w:t>
            </w:r>
            <w:proofErr w:type="spellEnd"/>
            <w:r w:rsidRPr="0092580D">
              <w:rPr>
                <w:b/>
                <w:lang w:val="ru-RU"/>
              </w:rPr>
              <w:t>»</w:t>
            </w:r>
          </w:p>
          <w:p w:rsidR="00B2043E" w:rsidRPr="0092580D" w:rsidRDefault="00B2043E" w:rsidP="00FF6B3E">
            <w:pPr>
              <w:pStyle w:val="a5"/>
              <w:jc w:val="both"/>
            </w:pPr>
            <w:r w:rsidRPr="0092580D">
              <w:rPr>
                <w:lang w:val="ru-RU"/>
              </w:rPr>
              <w:t xml:space="preserve">          </w:t>
            </w:r>
            <w:proofErr w:type="spellStart"/>
            <w:r w:rsidR="00977070">
              <w:rPr>
                <w:lang w:val="ru-RU"/>
              </w:rPr>
              <w:t>Концепцією</w:t>
            </w:r>
            <w:proofErr w:type="spellEnd"/>
            <w:r w:rsidRPr="0092580D">
              <w:rPr>
                <w:lang w:val="ru-RU"/>
              </w:rPr>
              <w:t xml:space="preserve"> </w:t>
            </w:r>
            <w:proofErr w:type="spellStart"/>
            <w:r w:rsidR="00977070">
              <w:rPr>
                <w:lang w:val="ru-RU"/>
              </w:rPr>
              <w:t>п</w:t>
            </w:r>
            <w:r w:rsidRPr="0092580D">
              <w:rPr>
                <w:lang w:val="ru-RU"/>
              </w:rPr>
              <w:t>ропонуються</w:t>
            </w:r>
            <w:proofErr w:type="spellEnd"/>
            <w:r w:rsidRPr="0092580D">
              <w:rPr>
                <w:lang w:val="ru-RU"/>
              </w:rPr>
              <w:t xml:space="preserve"> </w:t>
            </w:r>
            <w:proofErr w:type="spellStart"/>
            <w:r w:rsidRPr="0092580D">
              <w:rPr>
                <w:lang w:val="ru-RU"/>
              </w:rPr>
              <w:t>такі</w:t>
            </w:r>
            <w:proofErr w:type="spellEnd"/>
            <w:r w:rsidRPr="0092580D">
              <w:rPr>
                <w:lang w:val="ru-RU"/>
              </w:rPr>
              <w:t xml:space="preserve"> </w:t>
            </w:r>
            <w:proofErr w:type="spellStart"/>
            <w:r w:rsidRPr="0092580D">
              <w:rPr>
                <w:lang w:val="ru-RU"/>
              </w:rPr>
              <w:t>зміни</w:t>
            </w:r>
            <w:proofErr w:type="spellEnd"/>
            <w:r w:rsidRPr="0092580D">
              <w:rPr>
                <w:lang w:val="ru-RU"/>
              </w:rPr>
              <w:t xml:space="preserve"> до </w:t>
            </w:r>
            <w:proofErr w:type="spellStart"/>
            <w:r w:rsidRPr="0092580D">
              <w:rPr>
                <w:lang w:val="ru-RU"/>
              </w:rPr>
              <w:t>законодавста</w:t>
            </w:r>
            <w:proofErr w:type="spellEnd"/>
            <w:r w:rsidRPr="0092580D">
              <w:rPr>
                <w:lang w:val="ru-RU"/>
              </w:rPr>
              <w:t xml:space="preserve">, </w:t>
            </w:r>
            <w:proofErr w:type="spellStart"/>
            <w:r w:rsidR="004D12F9" w:rsidRPr="0092580D">
              <w:rPr>
                <w:lang w:val="ru-RU"/>
              </w:rPr>
              <w:t>які</w:t>
            </w:r>
            <w:proofErr w:type="spellEnd"/>
            <w:r w:rsidRPr="0092580D">
              <w:rPr>
                <w:lang w:val="ru-RU"/>
              </w:rPr>
              <w:t xml:space="preserve"> </w:t>
            </w:r>
            <w:r w:rsidRPr="0092580D">
              <w:t>ма</w:t>
            </w:r>
            <w:r w:rsidR="004D12F9" w:rsidRPr="0092580D">
              <w:t>ють</w:t>
            </w:r>
            <w:r w:rsidRPr="0092580D">
              <w:t xml:space="preserve"> вирішити та врегулювати такі питання:</w:t>
            </w:r>
          </w:p>
          <w:p w:rsidR="00B2043E" w:rsidRPr="0092580D" w:rsidRDefault="00977070" w:rsidP="00FF6B3E">
            <w:pPr>
              <w:pStyle w:val="a5"/>
              <w:numPr>
                <w:ilvl w:val="0"/>
                <w:numId w:val="3"/>
              </w:numPr>
              <w:ind w:left="0"/>
              <w:jc w:val="both"/>
            </w:pPr>
            <w:r>
              <w:t xml:space="preserve">             </w:t>
            </w:r>
            <w:r w:rsidR="00B2043E" w:rsidRPr="0092580D">
              <w:t>кліринг повинен здійснюватися кліринговими установами, які отримали ліцензію НКЦПФР, включаючи Центральними контрагентами, які відповідають більшості вимог EMIR;</w:t>
            </w:r>
          </w:p>
          <w:p w:rsidR="00B2043E" w:rsidRPr="0092580D" w:rsidRDefault="00977070" w:rsidP="00FF6B3E">
            <w:pPr>
              <w:pStyle w:val="a5"/>
              <w:numPr>
                <w:ilvl w:val="0"/>
                <w:numId w:val="3"/>
              </w:numPr>
              <w:ind w:left="0"/>
              <w:jc w:val="both"/>
            </w:pPr>
            <w:r>
              <w:t xml:space="preserve">             </w:t>
            </w:r>
            <w:r w:rsidR="00B2043E" w:rsidRPr="0092580D">
              <w:t xml:space="preserve">законом будуть встановлені конкретні вимоги до ризик-менеджменту Центральних контрагентів та клірингових установ, включаючи вимоги до капіталу, гарантійного фонду та внесків учасників клірингу до гарантійного фонду. </w:t>
            </w:r>
            <w:bookmarkStart w:id="0" w:name="_GoBack"/>
            <w:bookmarkEnd w:id="0"/>
          </w:p>
          <w:p w:rsidR="00B2043E" w:rsidRPr="0092580D" w:rsidRDefault="00977070" w:rsidP="00FF6B3E">
            <w:pPr>
              <w:pStyle w:val="a5"/>
              <w:numPr>
                <w:ilvl w:val="0"/>
                <w:numId w:val="3"/>
              </w:numPr>
              <w:ind w:left="0"/>
              <w:jc w:val="both"/>
            </w:pPr>
            <w:r>
              <w:t xml:space="preserve">             </w:t>
            </w:r>
            <w:r w:rsidR="00B2043E" w:rsidRPr="0092580D">
              <w:t>депозитарне зберігання усіх цінних паперів у бездокументарній формі повинно здійснюватися ЦД, до якого застосовуються правила на основі CSDR</w:t>
            </w:r>
            <w:r w:rsidR="00A30FFD" w:rsidRPr="0092580D">
              <w:t xml:space="preserve"> (очікується, що НДУ буде єдиним ЦД в Україні, який діятиме на основі своїх Правил ЦД, ЦД буде дозволено надавати основні послуги та небанківські додаткові послуги);</w:t>
            </w:r>
          </w:p>
          <w:p w:rsidR="00B2043E" w:rsidRPr="0092580D" w:rsidRDefault="00977070" w:rsidP="00FF6B3E">
            <w:pPr>
              <w:pStyle w:val="a5"/>
              <w:numPr>
                <w:ilvl w:val="0"/>
                <w:numId w:val="3"/>
              </w:numPr>
              <w:ind w:left="0"/>
              <w:jc w:val="both"/>
            </w:pPr>
            <w:r>
              <w:t xml:space="preserve">            </w:t>
            </w:r>
            <w:r w:rsidR="00B2043E" w:rsidRPr="0092580D">
              <w:t>грошові розрахунки щодо інструментів, які торгуються на біржі, мають здійснюватися в грошах центрального банку через рахунки, відкриті Центральними контрагентами у НБУ;</w:t>
            </w:r>
          </w:p>
          <w:p w:rsidR="00B2043E" w:rsidRPr="0092580D" w:rsidRDefault="00977070" w:rsidP="00FF6B3E">
            <w:pPr>
              <w:pStyle w:val="a5"/>
              <w:numPr>
                <w:ilvl w:val="0"/>
                <w:numId w:val="3"/>
              </w:numPr>
              <w:ind w:left="0"/>
              <w:jc w:val="both"/>
            </w:pPr>
            <w:r>
              <w:t xml:space="preserve">           </w:t>
            </w:r>
            <w:r w:rsidR="00B2043E" w:rsidRPr="0092580D">
              <w:t>вимога щодо сегрегації активів, які належать різним учасникам клірингу чи депозитарним установам, а також сегрегації активів учасника клірингу чи депозитарної установи від активів їх клієнтів</w:t>
            </w:r>
            <w:r w:rsidR="00A30FFD" w:rsidRPr="0092580D">
              <w:t xml:space="preserve"> (для того, щоб досягнути сегрегації активів, які належать різним клієнтам, відповідному клієнту необхідно буде надати розпорядження своїй депозитарній установі, щоб вона відкрила відповідний рахунок у цінних паперах у ЦД, тобто логістика відрізнятиметься від тих же процесів у ЄС);</w:t>
            </w:r>
          </w:p>
          <w:p w:rsidR="00B2043E" w:rsidRPr="0092580D" w:rsidRDefault="00977070" w:rsidP="00FF6B3E">
            <w:pPr>
              <w:pStyle w:val="a5"/>
              <w:numPr>
                <w:ilvl w:val="0"/>
                <w:numId w:val="3"/>
              </w:numPr>
              <w:ind w:left="0"/>
              <w:jc w:val="both"/>
            </w:pPr>
            <w:r>
              <w:t xml:space="preserve">           </w:t>
            </w:r>
            <w:r w:rsidR="00B2043E" w:rsidRPr="0092580D">
              <w:t>до учасників клірингу та депозитарних установ будуть встановлюватися додаткові вимоги правилами клірингу та правилами ЦД відповідно, крім визначених законами та підзаконними нормативно-правовими актами;</w:t>
            </w:r>
          </w:p>
          <w:p w:rsidR="00B2043E" w:rsidRPr="0092580D" w:rsidRDefault="00977070" w:rsidP="00FF6B3E">
            <w:pPr>
              <w:pStyle w:val="a5"/>
              <w:numPr>
                <w:ilvl w:val="0"/>
                <w:numId w:val="3"/>
              </w:numPr>
              <w:ind w:left="0"/>
              <w:jc w:val="both"/>
            </w:pPr>
            <w:r>
              <w:t xml:space="preserve">           </w:t>
            </w:r>
            <w:r w:rsidR="00A30FFD" w:rsidRPr="0092580D">
              <w:t>передбачається досягти</w:t>
            </w:r>
            <w:r w:rsidR="00B2043E" w:rsidRPr="0092580D">
              <w:t xml:space="preserve"> повн</w:t>
            </w:r>
            <w:r w:rsidR="00A30FFD" w:rsidRPr="0092580D">
              <w:t>ої</w:t>
            </w:r>
            <w:r w:rsidR="00B2043E" w:rsidRPr="0092580D">
              <w:t xml:space="preserve"> автоматизован</w:t>
            </w:r>
            <w:r w:rsidR="00A30FFD" w:rsidRPr="0092580D">
              <w:t>ої</w:t>
            </w:r>
            <w:r w:rsidR="00B2043E" w:rsidRPr="0092580D">
              <w:t xml:space="preserve"> обробк</w:t>
            </w:r>
            <w:r w:rsidR="00A30FFD" w:rsidRPr="0092580D">
              <w:t>и</w:t>
            </w:r>
            <w:r w:rsidR="00B2043E" w:rsidRPr="0092580D">
              <w:t xml:space="preserve"> угод з цінними паперами, що торгуються на біржі</w:t>
            </w:r>
            <w:r w:rsidR="004D12F9" w:rsidRPr="0092580D">
              <w:t xml:space="preserve"> (</w:t>
            </w:r>
            <w:r w:rsidR="00B2043E" w:rsidRPr="0092580D">
              <w:t>уникнення ручного втручання</w:t>
            </w:r>
            <w:r w:rsidR="004D12F9" w:rsidRPr="0092580D">
              <w:t>)</w:t>
            </w:r>
            <w:r w:rsidR="00B2043E" w:rsidRPr="0092580D">
              <w:t xml:space="preserve">, а також </w:t>
            </w:r>
            <w:proofErr w:type="spellStart"/>
            <w:r w:rsidR="00B2043E" w:rsidRPr="0092580D">
              <w:t>безпаперового</w:t>
            </w:r>
            <w:proofErr w:type="spellEnd"/>
            <w:r w:rsidR="00B2043E" w:rsidRPr="0092580D">
              <w:t xml:space="preserve"> процесу між підтвердженням угод </w:t>
            </w:r>
            <w:proofErr w:type="spellStart"/>
            <w:r w:rsidR="00B2043E" w:rsidRPr="0092580D">
              <w:t>біржею</w:t>
            </w:r>
            <w:proofErr w:type="spellEnd"/>
            <w:r w:rsidR="00B2043E" w:rsidRPr="0092580D">
              <w:t xml:space="preserve"> та остаточними розрахункам</w:t>
            </w:r>
            <w:r w:rsidR="006A7FC0">
              <w:t>и у грошах та цінних паперах.</w:t>
            </w:r>
          </w:p>
          <w:p w:rsidR="00635409" w:rsidRDefault="00BA0E7F" w:rsidP="00FF6B3E">
            <w:pPr>
              <w:pStyle w:val="a5"/>
              <w:jc w:val="both"/>
            </w:pPr>
            <w:r w:rsidRPr="0092580D">
              <w:t xml:space="preserve">           Концепцією встановлюється підхід, відповідно до якого ключові правила залишаться на рівні  законів України, а регулятори та установи інфраструктури ринків капіталу будуть наділені достатньою свободою, щоб вирішувати більш технічні питання на рівні підзаконних нормативно-правових актів та правил установ інфраструктури ринків капіталу</w:t>
            </w:r>
            <w:r w:rsidR="00FF6B3E">
              <w:t>.</w:t>
            </w:r>
          </w:p>
          <w:p w:rsidR="00977070" w:rsidRDefault="00D94856" w:rsidP="00FF6B3E">
            <w:pPr>
              <w:pStyle w:val="a5"/>
              <w:jc w:val="both"/>
            </w:pPr>
            <w:r>
              <w:t xml:space="preserve">           Концепція описує </w:t>
            </w:r>
            <w:r w:rsidRPr="00635409">
              <w:t xml:space="preserve">пропозиції </w:t>
            </w:r>
            <w:r>
              <w:t>щодо</w:t>
            </w:r>
            <w:r w:rsidRPr="00635409">
              <w:t xml:space="preserve"> внесення змін до законів України та основних підзак</w:t>
            </w:r>
            <w:r>
              <w:t xml:space="preserve">онних нормативно-правових актів та включає розділи про клірингову діяльність, депозитарну систему, короткий розділ з питань торгового </w:t>
            </w:r>
            <w:proofErr w:type="spellStart"/>
            <w:r>
              <w:t>репозиторію</w:t>
            </w:r>
            <w:proofErr w:type="spellEnd"/>
            <w:r>
              <w:t xml:space="preserve"> та деякі питання оподаткування транзакцій за якими здійснюється кліринг, використанн</w:t>
            </w:r>
            <w:r w:rsidR="006A7FC0">
              <w:t xml:space="preserve">я </w:t>
            </w:r>
            <w:r>
              <w:t>електронних документів та</w:t>
            </w:r>
            <w:r w:rsidR="006A7FC0">
              <w:t xml:space="preserve"> деякі питання</w:t>
            </w:r>
            <w:r>
              <w:t xml:space="preserve"> перехідн</w:t>
            </w:r>
            <w:r w:rsidR="006A7FC0">
              <w:t>их</w:t>
            </w:r>
            <w:r>
              <w:t xml:space="preserve"> положен</w:t>
            </w:r>
            <w:r w:rsidR="006A7FC0">
              <w:t>ь.</w:t>
            </w:r>
          </w:p>
          <w:p w:rsidR="00FF6B3E" w:rsidRPr="0092580D" w:rsidRDefault="00FF6B3E" w:rsidP="00FF6B3E">
            <w:pPr>
              <w:pStyle w:val="a5"/>
              <w:jc w:val="both"/>
            </w:pPr>
          </w:p>
          <w:p w:rsidR="00BA0E7F" w:rsidRPr="00921723" w:rsidRDefault="00BA0E7F" w:rsidP="00E00643">
            <w:pPr>
              <w:pStyle w:val="a5"/>
              <w:spacing w:line="312" w:lineRule="auto"/>
              <w:jc w:val="center"/>
              <w:rPr>
                <w:b/>
              </w:rPr>
            </w:pPr>
            <w:r w:rsidRPr="00921723">
              <w:rPr>
                <w:b/>
              </w:rPr>
              <w:t xml:space="preserve">І. </w:t>
            </w:r>
            <w:r w:rsidR="003B71F2" w:rsidRPr="00921723">
              <w:rPr>
                <w:b/>
              </w:rPr>
              <w:t>Кліринговий рівень</w:t>
            </w:r>
            <w:r w:rsidR="0070695D" w:rsidRPr="00921723">
              <w:rPr>
                <w:b/>
              </w:rPr>
              <w:t>.</w:t>
            </w:r>
          </w:p>
          <w:p w:rsidR="003B71F2" w:rsidRPr="0092580D" w:rsidRDefault="00E00643" w:rsidP="00E00643">
            <w:pPr>
              <w:widowControl w:val="0"/>
              <w:spacing w:after="60"/>
              <w:rPr>
                <w:rFonts w:ascii="Times New Roman" w:hAnsi="Times New Roman"/>
                <w:sz w:val="24"/>
                <w:szCs w:val="24"/>
                <w:lang w:val="uk-UA"/>
              </w:rPr>
            </w:pPr>
            <w:r w:rsidRPr="0092580D">
              <w:rPr>
                <w:rFonts w:ascii="Times New Roman" w:hAnsi="Times New Roman"/>
                <w:sz w:val="24"/>
                <w:szCs w:val="24"/>
                <w:lang w:val="uk-UA"/>
              </w:rPr>
              <w:t xml:space="preserve">           </w:t>
            </w:r>
            <w:r w:rsidR="003B71F2" w:rsidRPr="0092580D">
              <w:rPr>
                <w:rFonts w:ascii="Times New Roman" w:hAnsi="Times New Roman"/>
                <w:sz w:val="24"/>
                <w:szCs w:val="24"/>
                <w:lang w:val="uk-UA"/>
              </w:rPr>
              <w:t xml:space="preserve">1.1. Одержання ліцензії кліринговими установами та Центральними контрагентами (НБУ більше не буде здійснювати клірингову діяльність після закінчення перехідного періоду, фондовим біржам буде заборонено надавати клірингові послуги; </w:t>
            </w:r>
            <w:r w:rsidRPr="0092580D">
              <w:rPr>
                <w:rFonts w:ascii="Times New Roman" w:hAnsi="Times New Roman"/>
                <w:sz w:val="24"/>
                <w:szCs w:val="24"/>
                <w:lang w:val="uk-UA"/>
              </w:rPr>
              <w:t>клірингові п</w:t>
            </w:r>
            <w:r w:rsidR="003B71F2" w:rsidRPr="0092580D">
              <w:rPr>
                <w:rFonts w:ascii="Times New Roman" w:hAnsi="Times New Roman"/>
                <w:sz w:val="24"/>
                <w:szCs w:val="24"/>
                <w:lang w:val="uk-UA"/>
              </w:rPr>
              <w:t>ослуги будуть надаватися окремими юридичними особами;</w:t>
            </w:r>
            <w:r w:rsidRPr="0092580D">
              <w:rPr>
                <w:rFonts w:ascii="Times New Roman" w:hAnsi="Times New Roman"/>
                <w:sz w:val="24"/>
                <w:szCs w:val="24"/>
                <w:lang w:val="uk-UA"/>
              </w:rPr>
              <w:t xml:space="preserve"> </w:t>
            </w:r>
            <w:r w:rsidR="003B71F2" w:rsidRPr="0092580D">
              <w:rPr>
                <w:rFonts w:ascii="Times New Roman" w:hAnsi="Times New Roman"/>
                <w:sz w:val="24"/>
                <w:szCs w:val="24"/>
                <w:lang w:val="uk-UA"/>
              </w:rPr>
              <w:t>Центральному контрагенту буде заборонено отримувати банківську ліцензію</w:t>
            </w:r>
            <w:r w:rsidRPr="0092580D">
              <w:rPr>
                <w:rFonts w:ascii="Times New Roman" w:hAnsi="Times New Roman"/>
                <w:sz w:val="24"/>
                <w:szCs w:val="24"/>
                <w:lang w:val="uk-UA"/>
              </w:rPr>
              <w:t>, скасовується монополія Розрахункового центру);</w:t>
            </w:r>
          </w:p>
          <w:p w:rsidR="00DA44B3" w:rsidRPr="0092580D" w:rsidRDefault="00E00643" w:rsidP="00DA44B3">
            <w:pPr>
              <w:widowControl w:val="0"/>
              <w:spacing w:after="60"/>
              <w:rPr>
                <w:rFonts w:ascii="Times New Roman" w:hAnsi="Times New Roman"/>
                <w:sz w:val="24"/>
                <w:szCs w:val="24"/>
                <w:lang w:val="uk-UA"/>
              </w:rPr>
            </w:pPr>
            <w:r w:rsidRPr="0092580D">
              <w:rPr>
                <w:rFonts w:ascii="Times New Roman" w:hAnsi="Times New Roman"/>
                <w:sz w:val="24"/>
                <w:szCs w:val="24"/>
                <w:lang w:val="uk-UA"/>
              </w:rPr>
              <w:t xml:space="preserve">           1.2.</w:t>
            </w:r>
            <w:r w:rsidR="00DA44B3" w:rsidRPr="0092580D">
              <w:rPr>
                <w:rFonts w:ascii="Times New Roman" w:hAnsi="Times New Roman"/>
                <w:sz w:val="24"/>
                <w:szCs w:val="24"/>
                <w:lang w:val="uk-UA"/>
              </w:rPr>
              <w:t xml:space="preserve"> Модель </w:t>
            </w:r>
            <w:proofErr w:type="spellStart"/>
            <w:r w:rsidR="00DA44B3" w:rsidRPr="0092580D">
              <w:rPr>
                <w:rFonts w:ascii="Times New Roman" w:hAnsi="Times New Roman"/>
                <w:sz w:val="24"/>
                <w:szCs w:val="24"/>
                <w:lang w:val="uk-UA"/>
              </w:rPr>
              <w:t>неттінгу</w:t>
            </w:r>
            <w:proofErr w:type="spellEnd"/>
            <w:r w:rsidR="00DA44B3" w:rsidRPr="0092580D">
              <w:rPr>
                <w:rFonts w:ascii="Times New Roman" w:hAnsi="Times New Roman"/>
                <w:sz w:val="24"/>
                <w:szCs w:val="24"/>
                <w:lang w:val="uk-UA"/>
              </w:rPr>
              <w:t xml:space="preserve">/клірингу (рекомендується впровадити модель двостороннього </w:t>
            </w:r>
            <w:proofErr w:type="spellStart"/>
            <w:r w:rsidR="00DA44B3" w:rsidRPr="0092580D">
              <w:rPr>
                <w:rFonts w:ascii="Times New Roman" w:hAnsi="Times New Roman"/>
                <w:sz w:val="24"/>
                <w:szCs w:val="24"/>
                <w:lang w:val="uk-UA"/>
              </w:rPr>
              <w:t>неттінгу</w:t>
            </w:r>
            <w:proofErr w:type="spellEnd"/>
            <w:r w:rsidR="00DA44B3" w:rsidRPr="0092580D">
              <w:rPr>
                <w:rFonts w:ascii="Times New Roman" w:hAnsi="Times New Roman"/>
                <w:sz w:val="24"/>
                <w:szCs w:val="24"/>
                <w:lang w:val="uk-UA"/>
              </w:rPr>
              <w:t xml:space="preserve"> "легким Центральним контрагентом" щодо ліквідних цінних паперів та продовжити застосовувати чинну модель щодо 100% депонування коштів щодо неліквідних фінансових інструментів); </w:t>
            </w:r>
          </w:p>
          <w:p w:rsidR="0092580D" w:rsidRDefault="0092580D" w:rsidP="00E00643">
            <w:pPr>
              <w:widowControl w:val="0"/>
              <w:spacing w:after="60"/>
              <w:rPr>
                <w:rFonts w:ascii="Times New Roman" w:hAnsi="Times New Roman"/>
                <w:sz w:val="24"/>
                <w:szCs w:val="24"/>
                <w:lang w:val="uk-UA"/>
              </w:rPr>
            </w:pPr>
            <w:r w:rsidRPr="0092580D">
              <w:rPr>
                <w:rFonts w:ascii="Times New Roman" w:hAnsi="Times New Roman"/>
                <w:sz w:val="24"/>
                <w:szCs w:val="24"/>
                <w:lang w:val="uk-UA"/>
              </w:rPr>
              <w:t xml:space="preserve">            1.3. Правові механізми здійснення клірингу Центральним контрагентом (новація, відкрита пропозиція та інші правові механізми) – пропонується механізм, що ЦК буде стороною угоди з моменту її укладання, та у разі визнання договору недійсним, реституції ЦК відіграє технічну роль (відповідальність на учасниках транзакцій)</w:t>
            </w:r>
            <w:r>
              <w:rPr>
                <w:rFonts w:ascii="Times New Roman" w:hAnsi="Times New Roman"/>
                <w:sz w:val="24"/>
                <w:szCs w:val="24"/>
                <w:lang w:val="uk-UA"/>
              </w:rPr>
              <w:t>;</w:t>
            </w:r>
          </w:p>
          <w:p w:rsidR="003170DA" w:rsidRPr="003170DA" w:rsidRDefault="003170DA" w:rsidP="003170DA">
            <w:pPr>
              <w:pStyle w:val="11"/>
              <w:widowControl w:val="0"/>
              <w:ind w:left="0"/>
              <w:rPr>
                <w:rFonts w:ascii="Times New Roman" w:hAnsi="Times New Roman"/>
                <w:sz w:val="24"/>
                <w:szCs w:val="24"/>
                <w:lang w:val="uk-UA"/>
              </w:rPr>
            </w:pPr>
            <w:r>
              <w:rPr>
                <w:rFonts w:ascii="Times New Roman" w:hAnsi="Times New Roman"/>
                <w:sz w:val="24"/>
                <w:szCs w:val="24"/>
                <w:lang w:val="uk-UA"/>
              </w:rPr>
              <w:lastRenderedPageBreak/>
              <w:t xml:space="preserve">           </w:t>
            </w:r>
            <w:r w:rsidRPr="003170DA">
              <w:rPr>
                <w:rFonts w:ascii="Times New Roman" w:hAnsi="Times New Roman"/>
                <w:sz w:val="24"/>
                <w:szCs w:val="24"/>
                <w:lang w:val="uk-UA"/>
              </w:rPr>
              <w:t>1</w:t>
            </w:r>
            <w:r w:rsidR="0092580D" w:rsidRPr="003170DA">
              <w:rPr>
                <w:rFonts w:ascii="Times New Roman" w:hAnsi="Times New Roman"/>
                <w:sz w:val="24"/>
                <w:szCs w:val="24"/>
                <w:lang w:val="uk-UA"/>
              </w:rPr>
              <w:t>.4.</w:t>
            </w:r>
            <w:r w:rsidRPr="003170DA">
              <w:rPr>
                <w:rFonts w:ascii="Times New Roman" w:hAnsi="Times New Roman"/>
                <w:sz w:val="24"/>
                <w:szCs w:val="24"/>
                <w:lang w:val="uk-UA"/>
              </w:rPr>
              <w:t xml:space="preserve"> Сегрегація активів та позицій для цілей клірингу:</w:t>
            </w:r>
          </w:p>
          <w:p w:rsidR="003170DA" w:rsidRPr="003170DA" w:rsidRDefault="003170DA" w:rsidP="003170DA">
            <w:pPr>
              <w:pStyle w:val="11"/>
              <w:widowControl w:val="0"/>
              <w:ind w:left="0"/>
              <w:rPr>
                <w:rFonts w:ascii="Times New Roman" w:hAnsi="Times New Roman"/>
                <w:sz w:val="24"/>
                <w:szCs w:val="24"/>
                <w:lang w:val="uk-UA"/>
              </w:rPr>
            </w:pPr>
            <w:r w:rsidRPr="003170DA">
              <w:rPr>
                <w:rFonts w:ascii="Times New Roman" w:hAnsi="Times New Roman"/>
                <w:sz w:val="24"/>
                <w:szCs w:val="24"/>
                <w:lang w:val="uk-UA"/>
              </w:rPr>
              <w:t xml:space="preserve">            - Центральний контрагент має </w:t>
            </w:r>
            <w:proofErr w:type="spellStart"/>
            <w:r w:rsidRPr="003170DA">
              <w:rPr>
                <w:rFonts w:ascii="Times New Roman" w:hAnsi="Times New Roman"/>
                <w:sz w:val="24"/>
                <w:szCs w:val="24"/>
                <w:lang w:val="uk-UA"/>
              </w:rPr>
              <w:t>сегрегувати</w:t>
            </w:r>
            <w:proofErr w:type="spellEnd"/>
            <w:r w:rsidRPr="003170DA">
              <w:rPr>
                <w:rFonts w:ascii="Times New Roman" w:hAnsi="Times New Roman"/>
                <w:sz w:val="24"/>
                <w:szCs w:val="24"/>
                <w:lang w:val="uk-UA"/>
              </w:rPr>
              <w:t xml:space="preserve"> власні активи від активів учасників клірингу, їх клієнтів та Центральних контрагентів, з якими він взаємодіє; </w:t>
            </w:r>
            <w:proofErr w:type="spellStart"/>
            <w:r w:rsidRPr="003170DA">
              <w:rPr>
                <w:rFonts w:ascii="Times New Roman" w:hAnsi="Times New Roman"/>
                <w:sz w:val="24"/>
                <w:szCs w:val="24"/>
                <w:lang w:val="uk-UA"/>
              </w:rPr>
              <w:t>сегрегувати</w:t>
            </w:r>
            <w:proofErr w:type="spellEnd"/>
            <w:r w:rsidRPr="003170DA">
              <w:rPr>
                <w:rFonts w:ascii="Times New Roman" w:hAnsi="Times New Roman"/>
                <w:sz w:val="24"/>
                <w:szCs w:val="24"/>
                <w:lang w:val="uk-UA"/>
              </w:rPr>
              <w:t xml:space="preserve"> активи та позиції одного учасника клірингу від активів інших учасників </w:t>
            </w:r>
            <w:proofErr w:type="spellStart"/>
            <w:r w:rsidRPr="003170DA">
              <w:rPr>
                <w:rFonts w:ascii="Times New Roman" w:hAnsi="Times New Roman"/>
                <w:sz w:val="24"/>
                <w:szCs w:val="24"/>
                <w:lang w:val="uk-UA"/>
              </w:rPr>
              <w:t>клірингу;має</w:t>
            </w:r>
            <w:proofErr w:type="spellEnd"/>
            <w:r w:rsidRPr="003170DA">
              <w:rPr>
                <w:rFonts w:ascii="Times New Roman" w:hAnsi="Times New Roman"/>
                <w:sz w:val="24"/>
                <w:szCs w:val="24"/>
                <w:lang w:val="uk-UA"/>
              </w:rPr>
              <w:t xml:space="preserve"> пропонувати учасникам клірингу можливість узагальненої сегрегації клієнтів та/або індивідуальної сегрегації клієнтів;</w:t>
            </w:r>
          </w:p>
          <w:p w:rsidR="00E00643" w:rsidRPr="003170DA" w:rsidRDefault="003170DA" w:rsidP="003170DA">
            <w:pPr>
              <w:pStyle w:val="11"/>
              <w:widowControl w:val="0"/>
              <w:ind w:left="0"/>
              <w:rPr>
                <w:rFonts w:ascii="Times New Roman" w:hAnsi="Times New Roman"/>
                <w:sz w:val="24"/>
                <w:szCs w:val="24"/>
                <w:lang w:val="uk-UA"/>
              </w:rPr>
            </w:pPr>
            <w:r w:rsidRPr="003170DA">
              <w:rPr>
                <w:rFonts w:ascii="Times New Roman" w:hAnsi="Times New Roman"/>
                <w:sz w:val="24"/>
                <w:szCs w:val="24"/>
                <w:lang w:val="uk-UA"/>
              </w:rPr>
              <w:t xml:space="preserve">          - учасник клірингу має </w:t>
            </w:r>
            <w:proofErr w:type="spellStart"/>
            <w:r w:rsidRPr="003170DA">
              <w:rPr>
                <w:rFonts w:ascii="Times New Roman" w:hAnsi="Times New Roman"/>
                <w:sz w:val="24"/>
                <w:szCs w:val="24"/>
                <w:lang w:val="uk-UA"/>
              </w:rPr>
              <w:t>сегрегувати</w:t>
            </w:r>
            <w:proofErr w:type="spellEnd"/>
            <w:r w:rsidRPr="003170DA">
              <w:rPr>
                <w:rFonts w:ascii="Times New Roman" w:hAnsi="Times New Roman"/>
                <w:sz w:val="24"/>
                <w:szCs w:val="24"/>
                <w:lang w:val="uk-UA"/>
              </w:rPr>
              <w:t xml:space="preserve"> власні активи та позиції від активів та позицій своїх клієнтів, а також активи та позиції одного клієнта від активів та позицій інших клієнтів та пропонувати кожному своєму клієнту вибір між узагальненою сегрегацією клієнтів та індивідуальною сегрегацією клієнтів</w:t>
            </w:r>
            <w:r>
              <w:rPr>
                <w:rFonts w:ascii="Times New Roman" w:hAnsi="Times New Roman"/>
                <w:sz w:val="24"/>
                <w:szCs w:val="24"/>
                <w:lang w:val="uk-UA"/>
              </w:rPr>
              <w:t>.</w:t>
            </w:r>
            <w:r w:rsidR="0092580D" w:rsidRPr="003170DA">
              <w:rPr>
                <w:rFonts w:ascii="Times New Roman" w:hAnsi="Times New Roman"/>
                <w:sz w:val="24"/>
                <w:szCs w:val="24"/>
                <w:lang w:val="uk-UA"/>
              </w:rPr>
              <w:t xml:space="preserve"> </w:t>
            </w:r>
          </w:p>
          <w:p w:rsidR="00135BAB" w:rsidRPr="001E4F57" w:rsidRDefault="003170DA" w:rsidP="00135BAB">
            <w:pPr>
              <w:widowControl w:val="0"/>
              <w:rPr>
                <w:rFonts w:ascii="Times New Roman" w:hAnsi="Times New Roman"/>
                <w:sz w:val="24"/>
                <w:szCs w:val="24"/>
                <w:lang w:val="uk-UA"/>
              </w:rPr>
            </w:pPr>
            <w:r w:rsidRPr="001E4F57">
              <w:rPr>
                <w:rFonts w:ascii="Times New Roman" w:hAnsi="Times New Roman"/>
                <w:sz w:val="24"/>
                <w:szCs w:val="24"/>
              </w:rPr>
              <w:t xml:space="preserve">           1.5.</w:t>
            </w:r>
            <w:r w:rsidR="00135BAB" w:rsidRPr="001E4F57">
              <w:rPr>
                <w:rFonts w:ascii="Times New Roman" w:hAnsi="Times New Roman"/>
                <w:sz w:val="24"/>
                <w:szCs w:val="24"/>
              </w:rPr>
              <w:t xml:space="preserve"> </w:t>
            </w:r>
            <w:r w:rsidR="00135BAB" w:rsidRPr="001E4F57">
              <w:rPr>
                <w:rFonts w:ascii="Times New Roman" w:hAnsi="Times New Roman"/>
                <w:sz w:val="24"/>
                <w:szCs w:val="24"/>
                <w:lang w:val="uk-UA"/>
              </w:rPr>
              <w:t>Доступ регіональних Центральних контрагентів та іноземних учасників к</w:t>
            </w:r>
            <w:r w:rsidR="00135BAB" w:rsidRPr="001E4F57">
              <w:rPr>
                <w:rFonts w:ascii="Times New Roman" w:hAnsi="Times New Roman"/>
                <w:sz w:val="24"/>
                <w:szCs w:val="24"/>
              </w:rPr>
              <w:t xml:space="preserve">лірингу - </w:t>
            </w:r>
            <w:r w:rsidR="00135BAB" w:rsidRPr="001E4F57">
              <w:rPr>
                <w:rFonts w:ascii="Times New Roman" w:hAnsi="Times New Roman"/>
                <w:sz w:val="24"/>
                <w:szCs w:val="24"/>
                <w:lang w:val="uk-UA"/>
              </w:rPr>
              <w:t xml:space="preserve">Законопроект про ринки капіталу має бути змінено, щоб дозволити іноземному Центральному контрагенту здійснювати діяльність в Україні, використовувати новацію, підпорядковану іноземному праву, щодо угод, укладених за українським правом та надавати певну звітність відповідно до іноземних вимог. </w:t>
            </w:r>
          </w:p>
          <w:p w:rsidR="00B94FFC" w:rsidRDefault="00A87DB4" w:rsidP="00AC3008">
            <w:pPr>
              <w:pStyle w:val="a5"/>
              <w:jc w:val="both"/>
            </w:pPr>
            <w:r>
              <w:t xml:space="preserve">            1.6. Загальні </w:t>
            </w:r>
            <w:proofErr w:type="spellStart"/>
            <w:r>
              <w:t>пруденційні</w:t>
            </w:r>
            <w:proofErr w:type="spellEnd"/>
            <w:r>
              <w:t xml:space="preserve"> вимоги, маржа та забезпечення, управління </w:t>
            </w:r>
            <w:proofErr w:type="spellStart"/>
            <w:r>
              <w:t>маржею</w:t>
            </w:r>
            <w:proofErr w:type="spellEnd"/>
            <w:r>
              <w:t>, права ЦК щодо коштів у якості маржі</w:t>
            </w:r>
            <w:r w:rsidR="00AC3008">
              <w:t>, інші фін</w:t>
            </w:r>
            <w:r w:rsidR="00613096">
              <w:t xml:space="preserve">ансові </w:t>
            </w:r>
            <w:r w:rsidR="009C7865">
              <w:t xml:space="preserve"> </w:t>
            </w:r>
            <w:r w:rsidR="00AC3008">
              <w:t>ресурси ЦК</w:t>
            </w:r>
            <w:r w:rsidR="00B94FFC">
              <w:t>.</w:t>
            </w:r>
          </w:p>
          <w:p w:rsidR="00635409" w:rsidRPr="0092580D" w:rsidRDefault="00B94FFC" w:rsidP="00AC3008">
            <w:pPr>
              <w:pStyle w:val="a5"/>
              <w:jc w:val="both"/>
            </w:pPr>
            <w:r>
              <w:t xml:space="preserve">            </w:t>
            </w:r>
            <w:r w:rsidR="00A87DB4">
              <w:t>ЦК має встановлювати, стягувати, встановлювати рівень та контролювати маржу, створювати гарантійний фонд(и) для покриття ризиків</w:t>
            </w:r>
            <w:r w:rsidR="00490142">
              <w:t xml:space="preserve">, оцінювати свої ризики ліквідності та кредитні ризики; у якості забезпечення та маржі приймати високоліквідні активи, банківські </w:t>
            </w:r>
            <w:proofErr w:type="spellStart"/>
            <w:r w:rsidR="00490142">
              <w:t>гарантівї</w:t>
            </w:r>
            <w:proofErr w:type="spellEnd"/>
            <w:r w:rsidR="00490142">
              <w:t xml:space="preserve"> фінансові інструменти та застосувати адекватні понижувальні коефіцієнти для таких активів</w:t>
            </w:r>
            <w:r w:rsidR="00AC3008">
              <w:t>;</w:t>
            </w:r>
            <w:r w:rsidR="00490142" w:rsidRPr="004C48EA">
              <w:rPr>
                <w:rFonts w:cs="Arial"/>
                <w:szCs w:val="20"/>
              </w:rPr>
              <w:t xml:space="preserve"> коригування вимог до маржі та забезпечення повинні бути прогнозованими</w:t>
            </w:r>
            <w:r w:rsidR="00AC3008">
              <w:rPr>
                <w:rFonts w:cs="Arial"/>
                <w:szCs w:val="20"/>
              </w:rPr>
              <w:t>;</w:t>
            </w:r>
            <w:r w:rsidR="00D535F1" w:rsidRPr="004C48EA">
              <w:rPr>
                <w:rFonts w:cs="Arial"/>
                <w:szCs w:val="20"/>
              </w:rPr>
              <w:t xml:space="preserve"> користування </w:t>
            </w:r>
            <w:proofErr w:type="spellStart"/>
            <w:r w:rsidR="00D535F1" w:rsidRPr="004C48EA">
              <w:rPr>
                <w:rFonts w:cs="Arial"/>
                <w:szCs w:val="20"/>
              </w:rPr>
              <w:t>маржею</w:t>
            </w:r>
            <w:proofErr w:type="spellEnd"/>
            <w:r w:rsidR="00D535F1" w:rsidRPr="004C48EA">
              <w:rPr>
                <w:rFonts w:cs="Arial"/>
                <w:szCs w:val="20"/>
              </w:rPr>
              <w:t xml:space="preserve"> та забезпеченням повинно здійснюватися відповідно до правил</w:t>
            </w:r>
            <w:r w:rsidR="00490142">
              <w:t xml:space="preserve"> </w:t>
            </w:r>
            <w:r w:rsidR="00D535F1">
              <w:t>ЦК</w:t>
            </w:r>
            <w:r w:rsidR="00AC3008">
              <w:t>;</w:t>
            </w:r>
            <w:r w:rsidR="006E0FF6">
              <w:t xml:space="preserve"> активи передані ЦК не можуть бути доступні третім особам та</w:t>
            </w:r>
            <w:r w:rsidR="00AC3008">
              <w:t xml:space="preserve"> бути</w:t>
            </w:r>
            <w:r w:rsidR="006E0FF6">
              <w:t xml:space="preserve"> предметом забезпечення</w:t>
            </w:r>
            <w:r w:rsidR="00AC3008">
              <w:t xml:space="preserve"> (</w:t>
            </w:r>
            <w:r w:rsidR="006E0FF6">
              <w:t>обтяження</w:t>
            </w:r>
            <w:r w:rsidR="00AC3008">
              <w:t>);</w:t>
            </w:r>
            <w:r w:rsidR="00490142">
              <w:t xml:space="preserve">  </w:t>
            </w:r>
            <w:r w:rsidR="00A87DB4">
              <w:t xml:space="preserve">  </w:t>
            </w:r>
            <w:r w:rsidR="00AC3008" w:rsidRPr="004C48EA">
              <w:rPr>
                <w:rFonts w:cs="Arial"/>
                <w:szCs w:val="20"/>
              </w:rPr>
              <w:t>Ц</w:t>
            </w:r>
            <w:r w:rsidR="00AC3008">
              <w:rPr>
                <w:rFonts w:cs="Arial"/>
                <w:szCs w:val="20"/>
              </w:rPr>
              <w:t>К</w:t>
            </w:r>
            <w:r w:rsidR="00AC3008" w:rsidRPr="004C48EA">
              <w:rPr>
                <w:rFonts w:cs="Arial"/>
                <w:szCs w:val="20"/>
              </w:rPr>
              <w:t xml:space="preserve"> повинен мати достатньо попередньо зарезервованих коштів</w:t>
            </w:r>
            <w:r w:rsidR="00AC3008">
              <w:rPr>
                <w:rFonts w:cs="Arial"/>
                <w:szCs w:val="20"/>
              </w:rPr>
              <w:t xml:space="preserve"> (виділені ресурси)</w:t>
            </w:r>
            <w:r w:rsidR="00AC3008" w:rsidRPr="004C48EA">
              <w:rPr>
                <w:rFonts w:cs="Arial"/>
                <w:szCs w:val="20"/>
              </w:rPr>
              <w:t xml:space="preserve"> для покриття потенційних збитків, що перевищують збитки, які покриваються за рахунок маржі та гарантійного фонду</w:t>
            </w:r>
            <w:r w:rsidR="00AC3008">
              <w:rPr>
                <w:rFonts w:cs="Arial"/>
                <w:szCs w:val="20"/>
              </w:rPr>
              <w:t>.</w:t>
            </w:r>
            <w:r w:rsidR="00AC3008" w:rsidRPr="004C48EA">
              <w:rPr>
                <w:rFonts w:cs="Arial"/>
                <w:szCs w:val="20"/>
              </w:rPr>
              <w:t xml:space="preserve"> </w:t>
            </w:r>
          </w:p>
        </w:tc>
      </w:tr>
      <w:tr w:rsidR="00635409" w:rsidRPr="00DA44B3" w:rsidTr="00BE0224">
        <w:tc>
          <w:tcPr>
            <w:tcW w:w="15920" w:type="dxa"/>
          </w:tcPr>
          <w:p w:rsidR="00537BAE" w:rsidRPr="00635409" w:rsidRDefault="00B94FFC" w:rsidP="00B473B4">
            <w:pPr>
              <w:pStyle w:val="a5"/>
              <w:jc w:val="both"/>
            </w:pPr>
            <w:r>
              <w:lastRenderedPageBreak/>
              <w:t xml:space="preserve">              1.7. </w:t>
            </w:r>
            <w:r w:rsidR="00B473B4">
              <w:t>Порядок дій ЦК у разі д</w:t>
            </w:r>
            <w:r>
              <w:t>ефолт</w:t>
            </w:r>
            <w:r w:rsidR="00B473B4">
              <w:t>у</w:t>
            </w:r>
            <w:r>
              <w:t xml:space="preserve"> учасників клірингу,</w:t>
            </w:r>
            <w:r w:rsidR="00B473B4">
              <w:t xml:space="preserve"> </w:t>
            </w:r>
            <w:r>
              <w:t>п</w:t>
            </w:r>
            <w:r w:rsidRPr="004C48EA">
              <w:t>ереведення активів та позицій клієнтів тих учасників клірингу, які перебувають у дефолті</w:t>
            </w:r>
            <w:r w:rsidR="00B473B4">
              <w:t>, тощо</w:t>
            </w:r>
            <w:r w:rsidR="00AD7935">
              <w:t>.</w:t>
            </w:r>
            <w:r w:rsidRPr="004C48EA">
              <w:t xml:space="preserve"> </w:t>
            </w:r>
          </w:p>
        </w:tc>
      </w:tr>
      <w:tr w:rsidR="0092580D" w:rsidRPr="003170DA" w:rsidTr="00BE0224">
        <w:tc>
          <w:tcPr>
            <w:tcW w:w="15920" w:type="dxa"/>
          </w:tcPr>
          <w:p w:rsidR="00B473B4" w:rsidRDefault="00537BAE" w:rsidP="00B473B4">
            <w:pPr>
              <w:pStyle w:val="a5"/>
              <w:jc w:val="both"/>
              <w:rPr>
                <w:rFonts w:cs="Arial"/>
                <w:szCs w:val="20"/>
              </w:rPr>
            </w:pPr>
            <w:r>
              <w:rPr>
                <w:rFonts w:cs="Arial"/>
                <w:szCs w:val="20"/>
              </w:rPr>
              <w:t xml:space="preserve">              </w:t>
            </w:r>
            <w:r w:rsidR="00AD7935">
              <w:rPr>
                <w:rFonts w:cs="Arial"/>
                <w:szCs w:val="20"/>
              </w:rPr>
              <w:t xml:space="preserve">1.8.  </w:t>
            </w:r>
            <w:r w:rsidR="00B473B4">
              <w:rPr>
                <w:rFonts w:cs="Arial"/>
                <w:szCs w:val="20"/>
              </w:rPr>
              <w:t>Особливості клірингу на біржовому та позабіржовому ринку, з</w:t>
            </w:r>
            <w:r w:rsidR="009C7865">
              <w:rPr>
                <w:rFonts w:cs="Arial"/>
                <w:szCs w:val="20"/>
              </w:rPr>
              <w:t>о</w:t>
            </w:r>
            <w:r w:rsidR="00B473B4">
              <w:rPr>
                <w:rFonts w:cs="Arial"/>
                <w:szCs w:val="20"/>
              </w:rPr>
              <w:t>крема к</w:t>
            </w:r>
            <w:r w:rsidR="00AD7935" w:rsidRPr="004C48EA">
              <w:rPr>
                <w:rFonts w:cs="Arial"/>
                <w:szCs w:val="20"/>
              </w:rPr>
              <w:t>ліринг угод купівлі-продажу</w:t>
            </w:r>
            <w:r w:rsidR="00AD7935">
              <w:rPr>
                <w:rFonts w:cs="Arial"/>
                <w:szCs w:val="20"/>
              </w:rPr>
              <w:t xml:space="preserve"> фін</w:t>
            </w:r>
            <w:r w:rsidR="00613096">
              <w:rPr>
                <w:rFonts w:cs="Arial"/>
                <w:szCs w:val="20"/>
              </w:rPr>
              <w:t xml:space="preserve">ансових </w:t>
            </w:r>
            <w:r w:rsidR="00AD7935">
              <w:rPr>
                <w:rFonts w:cs="Arial"/>
                <w:szCs w:val="20"/>
              </w:rPr>
              <w:t>інструментів</w:t>
            </w:r>
            <w:r w:rsidR="00AD7935" w:rsidRPr="004C48EA">
              <w:rPr>
                <w:rFonts w:cs="Arial"/>
                <w:szCs w:val="20"/>
              </w:rPr>
              <w:t>, укладених через заявки на регульованому ринку, повинен здійснюватис</w:t>
            </w:r>
            <w:r w:rsidR="00AD7935">
              <w:rPr>
                <w:rFonts w:cs="Arial"/>
                <w:szCs w:val="20"/>
              </w:rPr>
              <w:t xml:space="preserve">я </w:t>
            </w:r>
            <w:r w:rsidR="00AD7935" w:rsidRPr="004C48EA">
              <w:rPr>
                <w:rFonts w:cs="Arial"/>
                <w:szCs w:val="20"/>
              </w:rPr>
              <w:t>Ц</w:t>
            </w:r>
            <w:r w:rsidR="00AD7935">
              <w:rPr>
                <w:rFonts w:cs="Arial"/>
                <w:szCs w:val="20"/>
              </w:rPr>
              <w:t>К,</w:t>
            </w:r>
            <w:r w:rsidR="00AD7935" w:rsidRPr="004C48EA">
              <w:rPr>
                <w:rFonts w:cs="Arial"/>
                <w:szCs w:val="20"/>
              </w:rPr>
              <w:t xml:space="preserve"> </w:t>
            </w:r>
            <w:r w:rsidR="00AD7935">
              <w:rPr>
                <w:rFonts w:cs="Arial"/>
                <w:szCs w:val="20"/>
              </w:rPr>
              <w:t>к</w:t>
            </w:r>
            <w:r w:rsidR="00AD7935" w:rsidRPr="004C48EA">
              <w:rPr>
                <w:rFonts w:cs="Arial"/>
                <w:szCs w:val="20"/>
              </w:rPr>
              <w:t xml:space="preserve">ліринг </w:t>
            </w:r>
            <w:r w:rsidR="00AD7935">
              <w:rPr>
                <w:rFonts w:cs="Arial"/>
                <w:szCs w:val="20"/>
              </w:rPr>
              <w:t>у</w:t>
            </w:r>
            <w:r w:rsidR="00AD7935" w:rsidRPr="004C48EA">
              <w:rPr>
                <w:rFonts w:cs="Arial"/>
                <w:szCs w:val="20"/>
              </w:rPr>
              <w:t>год купівлі-продажу, в яких контрагенти знають один одного, може здійснюватис</w:t>
            </w:r>
            <w:r w:rsidR="00613096">
              <w:rPr>
                <w:rFonts w:cs="Arial"/>
                <w:szCs w:val="20"/>
              </w:rPr>
              <w:t xml:space="preserve">я </w:t>
            </w:r>
            <w:r w:rsidR="00AD7935" w:rsidRPr="004C48EA">
              <w:rPr>
                <w:rFonts w:cs="Arial"/>
                <w:szCs w:val="20"/>
              </w:rPr>
              <w:t>Ц</w:t>
            </w:r>
            <w:r w:rsidR="00AD7935">
              <w:rPr>
                <w:rFonts w:cs="Arial"/>
                <w:szCs w:val="20"/>
              </w:rPr>
              <w:t>К</w:t>
            </w:r>
            <w:r w:rsidR="00AD7935" w:rsidRPr="004C48EA">
              <w:rPr>
                <w:rFonts w:cs="Arial"/>
                <w:szCs w:val="20"/>
              </w:rPr>
              <w:t xml:space="preserve"> за бажанням сторін, але це не повинно вимагатися законодавством</w:t>
            </w:r>
            <w:r w:rsidR="00B473B4">
              <w:rPr>
                <w:rFonts w:cs="Arial"/>
                <w:szCs w:val="20"/>
              </w:rPr>
              <w:t xml:space="preserve"> та інше.</w:t>
            </w:r>
          </w:p>
          <w:p w:rsidR="00537BAE" w:rsidRPr="00635409" w:rsidRDefault="00537BAE" w:rsidP="00B473B4">
            <w:pPr>
              <w:pStyle w:val="a5"/>
              <w:jc w:val="both"/>
            </w:pPr>
            <w:r>
              <w:rPr>
                <w:rFonts w:cs="Arial"/>
                <w:szCs w:val="20"/>
              </w:rPr>
              <w:t xml:space="preserve">               1.9. </w:t>
            </w:r>
            <w:r w:rsidR="00770AED">
              <w:rPr>
                <w:rFonts w:cs="Arial"/>
                <w:szCs w:val="20"/>
              </w:rPr>
              <w:t>В</w:t>
            </w:r>
            <w:r>
              <w:rPr>
                <w:rFonts w:cs="Arial"/>
                <w:szCs w:val="20"/>
              </w:rPr>
              <w:t>имоги до діяльності ЦК (створюється у формі АТ, не є банком, вимоги до незалежних директорів, внутрішнього контролю, організаційної структури, комітету</w:t>
            </w:r>
            <w:r w:rsidR="009530C5">
              <w:rPr>
                <w:rFonts w:cs="Arial"/>
                <w:szCs w:val="20"/>
              </w:rPr>
              <w:t xml:space="preserve"> з управління ризиками, ІТ-вимоги, вимоги щодо володіння акціями ЦК</w:t>
            </w:r>
            <w:r w:rsidR="00770AED">
              <w:rPr>
                <w:rFonts w:cs="Arial"/>
                <w:szCs w:val="20"/>
              </w:rPr>
              <w:t>, прозорості діяльності ЦК, його структури власності, ведення ЦК облікових записів, інвестиційної політики та Правил ЦК</w:t>
            </w:r>
            <w:r w:rsidR="00F46B46">
              <w:rPr>
                <w:rFonts w:cs="Arial"/>
                <w:szCs w:val="20"/>
              </w:rPr>
              <w:t>, безперервність діяльності ЦК</w:t>
            </w:r>
            <w:r w:rsidR="00F957F9">
              <w:rPr>
                <w:rFonts w:cs="Arial"/>
                <w:szCs w:val="20"/>
              </w:rPr>
              <w:t xml:space="preserve">, договори про взаємодію між </w:t>
            </w:r>
            <w:r w:rsidR="00D94856">
              <w:rPr>
                <w:rFonts w:cs="Arial"/>
                <w:szCs w:val="20"/>
              </w:rPr>
              <w:t>центральними контрагентами</w:t>
            </w:r>
            <w:r w:rsidR="00F957F9">
              <w:rPr>
                <w:rFonts w:cs="Arial"/>
                <w:szCs w:val="20"/>
              </w:rPr>
              <w:t>,</w:t>
            </w:r>
            <w:r w:rsidR="00F957F9" w:rsidRPr="004C48EA">
              <w:rPr>
                <w:rFonts w:cs="Arial"/>
                <w:szCs w:val="20"/>
              </w:rPr>
              <w:t xml:space="preserve"> правила взаємного доступу між Центральним контрагентом та торговим майданчиком (фондовою </w:t>
            </w:r>
            <w:proofErr w:type="spellStart"/>
            <w:r w:rsidR="00F957F9" w:rsidRPr="004C48EA">
              <w:rPr>
                <w:rFonts w:cs="Arial"/>
                <w:szCs w:val="20"/>
              </w:rPr>
              <w:t>біржею</w:t>
            </w:r>
            <w:proofErr w:type="spellEnd"/>
            <w:r w:rsidR="00F957F9" w:rsidRPr="004C48EA">
              <w:rPr>
                <w:rFonts w:cs="Arial"/>
                <w:szCs w:val="20"/>
              </w:rPr>
              <w:t xml:space="preserve"> або Багатостороннім торговим майданчиком</w:t>
            </w:r>
            <w:r w:rsidR="009530C5">
              <w:rPr>
                <w:rFonts w:cs="Arial"/>
                <w:szCs w:val="20"/>
              </w:rPr>
              <w:t xml:space="preserve"> тощо</w:t>
            </w:r>
            <w:r>
              <w:rPr>
                <w:rFonts w:cs="Arial"/>
                <w:szCs w:val="20"/>
              </w:rPr>
              <w:t xml:space="preserve">) </w:t>
            </w:r>
          </w:p>
        </w:tc>
      </w:tr>
      <w:tr w:rsidR="0092580D" w:rsidRPr="003170DA" w:rsidTr="00BE0224">
        <w:tc>
          <w:tcPr>
            <w:tcW w:w="15920" w:type="dxa"/>
          </w:tcPr>
          <w:p w:rsidR="00F957F9" w:rsidRPr="00FE24E6" w:rsidRDefault="00770AED" w:rsidP="00F957F9">
            <w:pPr>
              <w:pStyle w:val="ListParagraph1"/>
              <w:widowControl w:val="0"/>
              <w:ind w:left="0"/>
              <w:rPr>
                <w:rFonts w:ascii="Times New Roman" w:hAnsi="Times New Roman"/>
                <w:sz w:val="24"/>
                <w:szCs w:val="24"/>
                <w:lang w:val="uk-UA"/>
              </w:rPr>
            </w:pPr>
            <w:r w:rsidRPr="00D94856">
              <w:rPr>
                <w:rFonts w:ascii="Times New Roman" w:hAnsi="Times New Roman"/>
                <w:sz w:val="24"/>
                <w:szCs w:val="24"/>
                <w:lang w:val="uk-UA"/>
              </w:rPr>
              <w:t xml:space="preserve">               </w:t>
            </w:r>
            <w:r w:rsidRPr="00F957F9">
              <w:rPr>
                <w:rFonts w:ascii="Times New Roman" w:hAnsi="Times New Roman"/>
                <w:sz w:val="24"/>
                <w:szCs w:val="24"/>
              </w:rPr>
              <w:t>1.10.</w:t>
            </w:r>
            <w:r w:rsidR="00F957F9" w:rsidRPr="00F957F9">
              <w:rPr>
                <w:rFonts w:ascii="Times New Roman" w:hAnsi="Times New Roman"/>
                <w:sz w:val="24"/>
                <w:szCs w:val="24"/>
              </w:rPr>
              <w:t xml:space="preserve"> </w:t>
            </w:r>
            <w:r w:rsidR="00F957F9" w:rsidRPr="00F957F9">
              <w:rPr>
                <w:rFonts w:ascii="Times New Roman" w:hAnsi="Times New Roman"/>
                <w:sz w:val="24"/>
                <w:szCs w:val="24"/>
                <w:lang w:val="uk-UA"/>
              </w:rPr>
              <w:t>ЦК у сво</w:t>
            </w:r>
            <w:r w:rsidR="00F957F9">
              <w:rPr>
                <w:rFonts w:ascii="Times New Roman" w:hAnsi="Times New Roman"/>
                <w:sz w:val="24"/>
                <w:szCs w:val="24"/>
                <w:lang w:val="uk-UA"/>
              </w:rPr>
              <w:t>ї</w:t>
            </w:r>
            <w:r w:rsidR="00F957F9" w:rsidRPr="00F957F9">
              <w:rPr>
                <w:rFonts w:ascii="Times New Roman" w:hAnsi="Times New Roman"/>
                <w:sz w:val="24"/>
                <w:szCs w:val="24"/>
                <w:lang w:val="uk-UA"/>
              </w:rPr>
              <w:t>х правилах клірингу встановлює вимоги до клірингових установ (</w:t>
            </w:r>
            <w:r w:rsidR="00D94856">
              <w:rPr>
                <w:rFonts w:ascii="Times New Roman" w:hAnsi="Times New Roman"/>
                <w:sz w:val="24"/>
                <w:szCs w:val="24"/>
                <w:lang w:val="uk-UA"/>
              </w:rPr>
              <w:t xml:space="preserve">такі вимоги мають бути </w:t>
            </w:r>
            <w:r w:rsidR="00F957F9" w:rsidRPr="00F957F9">
              <w:rPr>
                <w:rFonts w:ascii="Times New Roman" w:hAnsi="Times New Roman"/>
                <w:sz w:val="24"/>
                <w:szCs w:val="24"/>
                <w:lang w:val="uk-UA"/>
              </w:rPr>
              <w:t>недискримінаційні, прозорі та об'єктивні</w:t>
            </w:r>
            <w:r w:rsidR="00D94856">
              <w:rPr>
                <w:rFonts w:ascii="Times New Roman" w:hAnsi="Times New Roman"/>
                <w:sz w:val="24"/>
                <w:szCs w:val="24"/>
                <w:lang w:val="uk-UA"/>
              </w:rPr>
              <w:t>;</w:t>
            </w:r>
            <w:r w:rsidR="00F957F9" w:rsidRPr="00F957F9">
              <w:rPr>
                <w:rFonts w:ascii="Times New Roman" w:hAnsi="Times New Roman"/>
                <w:sz w:val="24"/>
                <w:szCs w:val="24"/>
                <w:lang w:val="uk-UA"/>
              </w:rPr>
              <w:t xml:space="preserve"> якщо клірингова установа здійснює кліринг лише деяких видів продуктів, повинні застосовуватись менш суворі вимоги, що відповідатимуть видам продуктів, кліринг яких здійснюється</w:t>
            </w:r>
            <w:r w:rsidR="00D94856">
              <w:rPr>
                <w:rFonts w:ascii="Times New Roman" w:hAnsi="Times New Roman"/>
                <w:sz w:val="24"/>
                <w:szCs w:val="24"/>
                <w:lang w:val="uk-UA"/>
              </w:rPr>
              <w:t>; правила мають передбачати порядок проведення</w:t>
            </w:r>
            <w:r w:rsidR="00F957F9" w:rsidRPr="00F957F9">
              <w:rPr>
                <w:rFonts w:ascii="Times New Roman" w:hAnsi="Times New Roman"/>
                <w:sz w:val="24"/>
                <w:szCs w:val="24"/>
                <w:lang w:val="uk-UA"/>
              </w:rPr>
              <w:t xml:space="preserve"> комплексн</w:t>
            </w:r>
            <w:r w:rsidR="00D94856">
              <w:rPr>
                <w:rFonts w:ascii="Times New Roman" w:hAnsi="Times New Roman"/>
                <w:sz w:val="24"/>
                <w:szCs w:val="24"/>
                <w:lang w:val="uk-UA"/>
              </w:rPr>
              <w:t>ої</w:t>
            </w:r>
            <w:r w:rsidR="00F957F9" w:rsidRPr="00F957F9">
              <w:rPr>
                <w:rFonts w:ascii="Times New Roman" w:hAnsi="Times New Roman"/>
                <w:sz w:val="24"/>
                <w:szCs w:val="24"/>
                <w:lang w:val="uk-UA"/>
              </w:rPr>
              <w:t xml:space="preserve"> перевірк</w:t>
            </w:r>
            <w:r w:rsidR="00D94856">
              <w:rPr>
                <w:rFonts w:ascii="Times New Roman" w:hAnsi="Times New Roman"/>
                <w:sz w:val="24"/>
                <w:szCs w:val="24"/>
                <w:lang w:val="uk-UA"/>
              </w:rPr>
              <w:t>и</w:t>
            </w:r>
            <w:r w:rsidR="00F957F9" w:rsidRPr="00F957F9">
              <w:rPr>
                <w:rFonts w:ascii="Times New Roman" w:hAnsi="Times New Roman"/>
                <w:sz w:val="24"/>
                <w:szCs w:val="24"/>
                <w:lang w:val="uk-UA"/>
              </w:rPr>
              <w:t xml:space="preserve"> ЦК дотримання правил кліринговою установою).</w:t>
            </w:r>
            <w:r w:rsidR="00FE24E6" w:rsidRPr="004C48EA">
              <w:rPr>
                <w:rFonts w:cs="Arial"/>
                <w:szCs w:val="20"/>
                <w:lang w:val="uk-UA"/>
              </w:rPr>
              <w:t xml:space="preserve"> </w:t>
            </w:r>
            <w:r w:rsidR="00FE24E6" w:rsidRPr="00FE24E6">
              <w:rPr>
                <w:rFonts w:ascii="Times New Roman" w:hAnsi="Times New Roman"/>
                <w:sz w:val="24"/>
                <w:szCs w:val="24"/>
                <w:lang w:val="uk-UA"/>
              </w:rPr>
              <w:t>Як банки, так і небанківські фінансові установи можуть бути основними або безпосередніми кліринговими установами</w:t>
            </w:r>
            <w:r w:rsidR="00FE24E6">
              <w:rPr>
                <w:rFonts w:ascii="Times New Roman" w:hAnsi="Times New Roman"/>
                <w:sz w:val="24"/>
                <w:szCs w:val="24"/>
                <w:lang w:val="uk-UA"/>
              </w:rPr>
              <w:t>.</w:t>
            </w:r>
          </w:p>
          <w:p w:rsidR="0092580D" w:rsidRPr="00F957F9" w:rsidRDefault="00FE24E6" w:rsidP="00BE0224">
            <w:pPr>
              <w:pStyle w:val="a5"/>
              <w:spacing w:line="312" w:lineRule="auto"/>
              <w:jc w:val="both"/>
            </w:pPr>
            <w:r>
              <w:t xml:space="preserve">                1.11. Повноваження НКЦПФР та НБУ щодо регулювання питань клірингу.</w:t>
            </w:r>
          </w:p>
        </w:tc>
      </w:tr>
      <w:tr w:rsidR="00537BAE" w:rsidRPr="009530C5" w:rsidTr="00BE0224">
        <w:tc>
          <w:tcPr>
            <w:tcW w:w="15920" w:type="dxa"/>
          </w:tcPr>
          <w:p w:rsidR="00977070" w:rsidRPr="00977070" w:rsidRDefault="0070695D" w:rsidP="00921723">
            <w:pPr>
              <w:pStyle w:val="a5"/>
              <w:jc w:val="center"/>
              <w:rPr>
                <w:b/>
              </w:rPr>
            </w:pPr>
            <w:r w:rsidRPr="00977070">
              <w:rPr>
                <w:b/>
              </w:rPr>
              <w:t>ІІ. Депозитарна система та розрахунки.</w:t>
            </w:r>
          </w:p>
          <w:p w:rsidR="00921723" w:rsidRPr="00074514" w:rsidRDefault="00921723" w:rsidP="00921723">
            <w:pPr>
              <w:pStyle w:val="a5"/>
              <w:widowControl w:val="0"/>
              <w:jc w:val="both"/>
            </w:pPr>
            <w:r w:rsidRPr="00074514">
              <w:t xml:space="preserve">              Головним завданням нової редакції Закону про депозитарну систему стане приведення правил про ЦД та депозитарні установи у відповідність до правил CSDR, включаючи, зокрема:</w:t>
            </w:r>
          </w:p>
          <w:p w:rsidR="00921723" w:rsidRPr="00074514" w:rsidRDefault="00921723" w:rsidP="00921723">
            <w:pPr>
              <w:pStyle w:val="a5"/>
              <w:widowControl w:val="0"/>
              <w:ind w:left="360"/>
              <w:jc w:val="both"/>
            </w:pPr>
            <w:r w:rsidRPr="00074514">
              <w:t xml:space="preserve">зміну підходу до послуг ЦД, щоб дозволити більшу гнучкість, проте з обмеженням ризикової </w:t>
            </w:r>
            <w:r w:rsidRPr="00074514">
              <w:lastRenderedPageBreak/>
              <w:t>діяльності;</w:t>
            </w:r>
          </w:p>
          <w:p w:rsidR="00921723" w:rsidRPr="00074514" w:rsidRDefault="00921723" w:rsidP="00921723">
            <w:pPr>
              <w:pStyle w:val="a5"/>
              <w:widowControl w:val="0"/>
              <w:ind w:left="360"/>
              <w:jc w:val="both"/>
            </w:pPr>
            <w:r w:rsidRPr="00074514">
              <w:t>сегрегацію активів різних депозитарних установ та можливість клієнта обирати між індивідуальною та узагальненою сегрегацією;</w:t>
            </w:r>
          </w:p>
          <w:p w:rsidR="00921723" w:rsidRPr="00074514" w:rsidRDefault="00921723" w:rsidP="00921723">
            <w:pPr>
              <w:pStyle w:val="a5"/>
              <w:widowControl w:val="0"/>
              <w:ind w:left="360"/>
              <w:jc w:val="both"/>
            </w:pPr>
            <w:r w:rsidRPr="00074514">
              <w:t>грошові розрахунки у грошах центрального банку, що, зокрема, передбачає доступ ЦД до Системи електронних платежів НБУ;</w:t>
            </w:r>
          </w:p>
          <w:p w:rsidR="00921723" w:rsidRPr="00074514" w:rsidRDefault="00921723" w:rsidP="00921723">
            <w:pPr>
              <w:pStyle w:val="a5"/>
              <w:widowControl w:val="0"/>
              <w:ind w:left="360"/>
              <w:jc w:val="both"/>
            </w:pPr>
            <w:r w:rsidRPr="00074514">
              <w:t>правила щодо процедур та відповідальності при нездійсненні розрахунків протягом застосовного періоду T+, такі як поставка ліквідних цінних паперів третьою особою та грошові штрафи учасників, які не здійснили розрахунки;</w:t>
            </w:r>
          </w:p>
          <w:p w:rsidR="00921723" w:rsidRPr="00074514" w:rsidRDefault="00921723" w:rsidP="00921723">
            <w:pPr>
              <w:pStyle w:val="a5"/>
              <w:widowControl w:val="0"/>
              <w:ind w:left="360"/>
              <w:jc w:val="both"/>
            </w:pPr>
            <w:r w:rsidRPr="00074514">
              <w:t>правила, що вимагають і дозволяють ЦД впроваджувати заходи, що підтримують розрахунки;</w:t>
            </w:r>
          </w:p>
          <w:p w:rsidR="00921723" w:rsidRPr="00074514" w:rsidRDefault="00921723" w:rsidP="00921723">
            <w:pPr>
              <w:pStyle w:val="a5"/>
              <w:widowControl w:val="0"/>
              <w:ind w:left="360"/>
              <w:jc w:val="both"/>
            </w:pPr>
            <w:r w:rsidRPr="00074514">
              <w:t xml:space="preserve">повноваження НКЦПФР визначати </w:t>
            </w:r>
            <w:proofErr w:type="spellStart"/>
            <w:r w:rsidRPr="00074514">
              <w:t>пруденційні</w:t>
            </w:r>
            <w:proofErr w:type="spellEnd"/>
            <w:r w:rsidRPr="00074514">
              <w:t xml:space="preserve"> нормативи та вимоги щодо </w:t>
            </w:r>
            <w:proofErr w:type="spellStart"/>
            <w:r w:rsidRPr="00074514">
              <w:t>капіталу,заходи</w:t>
            </w:r>
            <w:proofErr w:type="spellEnd"/>
            <w:r w:rsidRPr="00074514">
              <w:t xml:space="preserve"> та вимоги, необхідні для покращення стійкості депозитарної системи перед загрозами </w:t>
            </w:r>
            <w:proofErr w:type="spellStart"/>
            <w:r w:rsidRPr="00074514">
              <w:t>кібербезпеки</w:t>
            </w:r>
            <w:proofErr w:type="spellEnd"/>
            <w:r w:rsidRPr="00074514">
              <w:t>, які відповідають міжнародним технічним та технологічним стандартам;</w:t>
            </w:r>
          </w:p>
          <w:p w:rsidR="00921723" w:rsidRPr="00074514" w:rsidRDefault="00921723" w:rsidP="00921723">
            <w:pPr>
              <w:pStyle w:val="a5"/>
              <w:widowControl w:val="0"/>
              <w:ind w:left="360"/>
              <w:jc w:val="both"/>
            </w:pPr>
            <w:r w:rsidRPr="00074514">
              <w:t>більш гнучке корпоративне управління, що збалансовує інтереси акціонерів, менеджменту та клієнтів;</w:t>
            </w:r>
          </w:p>
          <w:p w:rsidR="00921723" w:rsidRPr="00074514" w:rsidRDefault="00921723" w:rsidP="00921723">
            <w:pPr>
              <w:pStyle w:val="a5"/>
              <w:widowControl w:val="0"/>
              <w:ind w:left="360"/>
              <w:jc w:val="both"/>
            </w:pPr>
            <w:r w:rsidRPr="00074514">
              <w:t>юридичні вимоги, що забезпечують дієвий нагляд та примусового виконання та</w:t>
            </w:r>
            <w:bookmarkStart w:id="1" w:name="_Hlk509680294"/>
            <w:r w:rsidRPr="00074514">
              <w:t xml:space="preserve"> різноманітні додаткові вимоги, такі як звітність, умови домовленостей про операційну сумісність та захист персональних даних. </w:t>
            </w:r>
          </w:p>
          <w:bookmarkEnd w:id="1"/>
          <w:p w:rsidR="00921723" w:rsidRPr="00074514" w:rsidRDefault="00921723" w:rsidP="00921723">
            <w:pPr>
              <w:pStyle w:val="a5"/>
              <w:widowControl w:val="0"/>
              <w:jc w:val="both"/>
            </w:pPr>
            <w:r w:rsidRPr="00074514">
              <w:t xml:space="preserve">       Закон про депозитарну систему у новій редакції забезпечить ЦД можливість надавати</w:t>
            </w:r>
            <w:bookmarkStart w:id="2" w:name="_Hlk509680432"/>
            <w:r w:rsidRPr="00074514">
              <w:t xml:space="preserve"> послуги з внесення інформації про активи (реєстрація активів) у депозитарну систему</w:t>
            </w:r>
            <w:r w:rsidR="009C7865">
              <w:t>;</w:t>
            </w:r>
            <w:r w:rsidRPr="00074514">
              <w:t xml:space="preserve"> послуги з обліку активів, а також прав та зобов'язань за такими активами на рахунках, відкритих на рівні ЦД (включаючи відкриття та обслуговування таких рахунків) та послуги з управління депозитарною системою України та розрахунками за всіма видами активів, що доступні у електронній (бездокументарній) формі в </w:t>
            </w:r>
            <w:proofErr w:type="spellStart"/>
            <w:r w:rsidRPr="00074514">
              <w:t>Україн</w:t>
            </w:r>
            <w:bookmarkEnd w:id="2"/>
            <w:proofErr w:type="spellEnd"/>
            <w:r w:rsidR="009C7865">
              <w:t>;</w:t>
            </w:r>
            <w:r w:rsidRPr="00074514">
              <w:t xml:space="preserve"> додаткові послуги на виключній основі (присвоєння кодів ISIN) та інші додаткові небанківські послуги (організація загальних зборів акціонерів, сплата дивідендів та процентів, комунікація із інвесторами).</w:t>
            </w:r>
          </w:p>
          <w:p w:rsidR="00921723" w:rsidRPr="00074514" w:rsidRDefault="00921723" w:rsidP="00921723">
            <w:pPr>
              <w:pStyle w:val="a5"/>
              <w:widowControl w:val="0"/>
              <w:jc w:val="both"/>
            </w:pPr>
            <w:r w:rsidRPr="00074514">
              <w:t xml:space="preserve">       Депозитарне зберігання державних та місцевих цінних паперів буде передане від НБУ до ЦД після закінчення перехідного періоду. НБУ буде дозволено здійснювати діяльність депозитарної установи по відношенню до власних цінних паперів та цінних паперів обмеженої кількості клієнтів. Закон про депозитарну систему у новій редакції не дозволятиме ЦД надавати додаткові банківські послуги.</w:t>
            </w:r>
          </w:p>
          <w:p w:rsidR="00977070" w:rsidRDefault="00977070" w:rsidP="00074514">
            <w:pPr>
              <w:pStyle w:val="a5"/>
              <w:jc w:val="center"/>
              <w:rPr>
                <w:b/>
              </w:rPr>
            </w:pPr>
          </w:p>
          <w:p w:rsidR="0070695D" w:rsidRPr="00977070" w:rsidRDefault="00074514" w:rsidP="00074514">
            <w:pPr>
              <w:pStyle w:val="a5"/>
              <w:jc w:val="center"/>
              <w:rPr>
                <w:b/>
              </w:rPr>
            </w:pPr>
            <w:r w:rsidRPr="00977070">
              <w:rPr>
                <w:b/>
              </w:rPr>
              <w:t xml:space="preserve">ІІІ. Торговий </w:t>
            </w:r>
            <w:proofErr w:type="spellStart"/>
            <w:r w:rsidRPr="00977070">
              <w:rPr>
                <w:b/>
              </w:rPr>
              <w:t>репозиторій</w:t>
            </w:r>
            <w:proofErr w:type="spellEnd"/>
          </w:p>
          <w:p w:rsidR="003B488D" w:rsidRDefault="003B488D" w:rsidP="003B488D">
            <w:pPr>
              <w:pStyle w:val="a5"/>
              <w:jc w:val="both"/>
              <w:rPr>
                <w:rFonts w:cs="Arial"/>
                <w:szCs w:val="20"/>
              </w:rPr>
            </w:pPr>
            <w:r>
              <w:rPr>
                <w:rFonts w:cs="Arial"/>
                <w:szCs w:val="20"/>
              </w:rPr>
              <w:t xml:space="preserve"> </w:t>
            </w:r>
            <w:r w:rsidR="00074514" w:rsidRPr="00074514">
              <w:rPr>
                <w:rFonts w:cs="Arial"/>
                <w:szCs w:val="20"/>
              </w:rPr>
              <w:t xml:space="preserve">        1.  До початку здійснення діяльності торгового </w:t>
            </w:r>
            <w:proofErr w:type="spellStart"/>
            <w:r w:rsidR="00074514" w:rsidRPr="00074514">
              <w:rPr>
                <w:rFonts w:cs="Arial"/>
                <w:szCs w:val="20"/>
              </w:rPr>
              <w:t>репозиторію</w:t>
            </w:r>
            <w:proofErr w:type="spellEnd"/>
            <w:r w:rsidR="00074514" w:rsidRPr="00074514">
              <w:rPr>
                <w:rFonts w:cs="Arial"/>
                <w:szCs w:val="20"/>
              </w:rPr>
              <w:t xml:space="preserve"> ЦД повинен отримати дозвіл НКЦПФР на здійснення такої діяльності. Для цілей отримання дозволу торговий </w:t>
            </w:r>
            <w:proofErr w:type="spellStart"/>
            <w:r w:rsidR="00074514" w:rsidRPr="00074514">
              <w:rPr>
                <w:rFonts w:cs="Arial"/>
                <w:szCs w:val="20"/>
              </w:rPr>
              <w:t>репозиторій</w:t>
            </w:r>
            <w:proofErr w:type="spellEnd"/>
            <w:r w:rsidR="00074514" w:rsidRPr="00074514">
              <w:rPr>
                <w:rFonts w:cs="Arial"/>
                <w:szCs w:val="20"/>
              </w:rPr>
              <w:t>/ЦД розробляє свої правила, які регулюватимуть звітність перед ним і надання ним інформації про транзакції з позабіржовими деривативами, вимоги до програмного забезпечення, документи та інше.</w:t>
            </w:r>
          </w:p>
          <w:p w:rsidR="003B488D" w:rsidRDefault="003B488D" w:rsidP="003B488D">
            <w:pPr>
              <w:pStyle w:val="a5"/>
              <w:jc w:val="both"/>
            </w:pPr>
            <w:r>
              <w:t xml:space="preserve">        </w:t>
            </w:r>
            <w:r w:rsidR="00074514" w:rsidRPr="00074514">
              <w:t xml:space="preserve">2. Правила торгового </w:t>
            </w:r>
            <w:proofErr w:type="spellStart"/>
            <w:r w:rsidR="00074514" w:rsidRPr="00074514">
              <w:t>репозиторію</w:t>
            </w:r>
            <w:proofErr w:type="spellEnd"/>
            <w:r w:rsidR="00074514" w:rsidRPr="00074514">
              <w:t xml:space="preserve"> мають </w:t>
            </w:r>
            <w:r w:rsidR="00074514">
              <w:t>передбачати, щ</w:t>
            </w:r>
            <w:r w:rsidR="00074514" w:rsidRPr="00074514">
              <w:t>о він не може відмовляти в наданні своїх послуг особам, на яких поширюється зобов'язання щодо подання звітності;</w:t>
            </w:r>
            <w:r w:rsidR="00074514">
              <w:t xml:space="preserve"> </w:t>
            </w:r>
            <w:r w:rsidR="00074514" w:rsidRPr="00074514">
              <w:t>він повинен публічно розкривати ціни на свої послуги</w:t>
            </w:r>
            <w:r w:rsidR="00074514">
              <w:t xml:space="preserve"> та</w:t>
            </w:r>
            <w:r w:rsidR="00074514" w:rsidRPr="00074514">
              <w:t xml:space="preserve"> статистичну інформацію в сукупній та знеособленій формі на періодичній основі.</w:t>
            </w:r>
            <w:r w:rsidR="002F1FE1" w:rsidRPr="003B488D">
              <w:t xml:space="preserve">      </w:t>
            </w:r>
          </w:p>
          <w:p w:rsidR="00074514" w:rsidRDefault="003B488D" w:rsidP="003B488D">
            <w:pPr>
              <w:pStyle w:val="a5"/>
              <w:jc w:val="both"/>
            </w:pPr>
            <w:r>
              <w:t xml:space="preserve">     </w:t>
            </w:r>
            <w:r w:rsidR="002F1FE1" w:rsidRPr="003B488D">
              <w:t xml:space="preserve">  </w:t>
            </w:r>
            <w:r w:rsidR="002F1FE1" w:rsidRPr="002F1FE1">
              <w:t xml:space="preserve">3. НКЦПФР має повноваження проводити перевірки торгових </w:t>
            </w:r>
            <w:proofErr w:type="spellStart"/>
            <w:r w:rsidR="002F1FE1" w:rsidRPr="002F1FE1">
              <w:t>репозиторіїв</w:t>
            </w:r>
            <w:proofErr w:type="spellEnd"/>
            <w:r w:rsidR="002F1FE1" w:rsidRPr="002F1FE1">
              <w:t xml:space="preserve">; накладати штрафи на торгових </w:t>
            </w:r>
            <w:proofErr w:type="spellStart"/>
            <w:r w:rsidR="002F1FE1" w:rsidRPr="002F1FE1">
              <w:t>репозиторіїв</w:t>
            </w:r>
            <w:proofErr w:type="spellEnd"/>
            <w:r w:rsidR="002F1FE1" w:rsidRPr="002F1FE1">
              <w:t xml:space="preserve">/ЦД за недотримання відповідних вимог; а також в цілому регулювати діяльність торгових </w:t>
            </w:r>
            <w:proofErr w:type="spellStart"/>
            <w:r w:rsidR="002F1FE1" w:rsidRPr="002F1FE1">
              <w:t>репозиторіїв</w:t>
            </w:r>
            <w:proofErr w:type="spellEnd"/>
            <w:r>
              <w:t>,</w:t>
            </w:r>
            <w:r w:rsidR="002F1FE1" w:rsidRPr="004C48EA">
              <w:rPr>
                <w:rFonts w:cs="Arial"/>
                <w:szCs w:val="20"/>
              </w:rPr>
              <w:t xml:space="preserve"> </w:t>
            </w:r>
            <w:r w:rsidR="002F1FE1" w:rsidRPr="002F1FE1">
              <w:t xml:space="preserve">регулювати доступ державних органів до інформації, що зберігається в торгових </w:t>
            </w:r>
            <w:proofErr w:type="spellStart"/>
            <w:r w:rsidR="002F1FE1" w:rsidRPr="002F1FE1">
              <w:t>репозиторіях</w:t>
            </w:r>
            <w:proofErr w:type="spellEnd"/>
            <w:r>
              <w:t xml:space="preserve">. НКЦПФР має розробити порядок звітування торгових </w:t>
            </w:r>
            <w:proofErr w:type="spellStart"/>
            <w:r>
              <w:t>репозиторіїв</w:t>
            </w:r>
            <w:proofErr w:type="spellEnd"/>
            <w:r>
              <w:t>.</w:t>
            </w:r>
          </w:p>
          <w:p w:rsidR="003B488D" w:rsidRDefault="003B488D" w:rsidP="003B488D">
            <w:pPr>
              <w:pStyle w:val="11"/>
              <w:keepNext/>
              <w:keepLines/>
              <w:spacing w:after="0"/>
              <w:ind w:left="0"/>
              <w:rPr>
                <w:rFonts w:ascii="Times New Roman" w:hAnsi="Times New Roman"/>
                <w:sz w:val="24"/>
                <w:szCs w:val="24"/>
                <w:lang w:val="uk-UA"/>
              </w:rPr>
            </w:pPr>
            <w:r>
              <w:rPr>
                <w:rFonts w:ascii="Times New Roman" w:hAnsi="Times New Roman"/>
                <w:sz w:val="24"/>
                <w:szCs w:val="24"/>
                <w:lang w:val="uk-UA"/>
              </w:rPr>
              <w:lastRenderedPageBreak/>
              <w:t xml:space="preserve">        4. Торговий </w:t>
            </w:r>
            <w:proofErr w:type="spellStart"/>
            <w:r>
              <w:rPr>
                <w:rFonts w:ascii="Times New Roman" w:hAnsi="Times New Roman"/>
                <w:sz w:val="24"/>
                <w:szCs w:val="24"/>
                <w:lang w:val="uk-UA"/>
              </w:rPr>
              <w:t>репозиторій</w:t>
            </w:r>
            <w:proofErr w:type="spellEnd"/>
            <w:r>
              <w:rPr>
                <w:rFonts w:ascii="Times New Roman" w:hAnsi="Times New Roman"/>
                <w:sz w:val="24"/>
                <w:szCs w:val="24"/>
                <w:lang w:val="uk-UA"/>
              </w:rPr>
              <w:t xml:space="preserve"> має розробити план щодо безперервності діяльності і план відновлення діяльності щодо збоїв в системі. </w:t>
            </w:r>
          </w:p>
          <w:p w:rsidR="003B488D" w:rsidRPr="003B488D" w:rsidRDefault="003B488D" w:rsidP="003B488D">
            <w:pPr>
              <w:pStyle w:val="11"/>
              <w:keepNext/>
              <w:keepLines/>
              <w:spacing w:after="0"/>
              <w:ind w:left="0"/>
              <w:rPr>
                <w:rFonts w:ascii="Times New Roman" w:hAnsi="Times New Roman"/>
                <w:sz w:val="24"/>
                <w:szCs w:val="24"/>
                <w:lang w:val="uk-UA"/>
              </w:rPr>
            </w:pPr>
            <w:r>
              <w:rPr>
                <w:rFonts w:ascii="Times New Roman" w:hAnsi="Times New Roman"/>
                <w:sz w:val="24"/>
                <w:szCs w:val="24"/>
                <w:lang w:val="uk-UA"/>
              </w:rPr>
              <w:t xml:space="preserve">         5. </w:t>
            </w:r>
            <w:r w:rsidRPr="003B488D">
              <w:rPr>
                <w:rFonts w:ascii="Times New Roman" w:hAnsi="Times New Roman"/>
                <w:sz w:val="24"/>
                <w:szCs w:val="24"/>
                <w:lang w:val="uk-UA"/>
              </w:rPr>
              <w:t xml:space="preserve">Торговий </w:t>
            </w:r>
            <w:proofErr w:type="spellStart"/>
            <w:r w:rsidRPr="003B488D">
              <w:rPr>
                <w:rFonts w:ascii="Times New Roman" w:hAnsi="Times New Roman"/>
                <w:sz w:val="24"/>
                <w:szCs w:val="24"/>
                <w:lang w:val="uk-UA"/>
              </w:rPr>
              <w:t>репозиторій</w:t>
            </w:r>
            <w:proofErr w:type="spellEnd"/>
            <w:r w:rsidRPr="003B488D">
              <w:rPr>
                <w:rFonts w:ascii="Times New Roman" w:hAnsi="Times New Roman"/>
                <w:sz w:val="24"/>
                <w:szCs w:val="24"/>
                <w:lang w:val="uk-UA"/>
              </w:rPr>
              <w:t xml:space="preserve"> має зобов’язання щодо забезпечення конфіденційності, цілісності і захисту інформації, що повідомляється йому, а також не допускати будь-яке зловживання такою інформацією. Торговий </w:t>
            </w:r>
            <w:proofErr w:type="spellStart"/>
            <w:r w:rsidRPr="003B488D">
              <w:rPr>
                <w:rFonts w:ascii="Times New Roman" w:hAnsi="Times New Roman"/>
                <w:sz w:val="24"/>
                <w:szCs w:val="24"/>
                <w:lang w:val="uk-UA"/>
              </w:rPr>
              <w:t>репозиторій</w:t>
            </w:r>
            <w:proofErr w:type="spellEnd"/>
            <w:r w:rsidRPr="003B488D">
              <w:rPr>
                <w:rFonts w:ascii="Times New Roman" w:hAnsi="Times New Roman"/>
                <w:sz w:val="24"/>
                <w:szCs w:val="24"/>
                <w:lang w:val="uk-UA"/>
              </w:rPr>
              <w:t xml:space="preserve"> не повинен використовувати таку інформацію для комерційних цілей без згоди відповідних сторін. Отримана інформація повинна бути зареєстрована і зберігатись торговим </w:t>
            </w:r>
            <w:proofErr w:type="spellStart"/>
            <w:r w:rsidRPr="003B488D">
              <w:rPr>
                <w:rFonts w:ascii="Times New Roman" w:hAnsi="Times New Roman"/>
                <w:sz w:val="24"/>
                <w:szCs w:val="24"/>
                <w:lang w:val="uk-UA"/>
              </w:rPr>
              <w:t>репозиторієм</w:t>
            </w:r>
            <w:proofErr w:type="spellEnd"/>
            <w:r w:rsidRPr="003B488D">
              <w:rPr>
                <w:rFonts w:ascii="Times New Roman" w:hAnsi="Times New Roman"/>
                <w:sz w:val="24"/>
                <w:szCs w:val="24"/>
                <w:lang w:val="uk-UA"/>
              </w:rPr>
              <w:t xml:space="preserve"> протягом певного періоду, встановленого НКЦПФР. </w:t>
            </w:r>
            <w:proofErr w:type="spellStart"/>
            <w:r w:rsidRPr="003B488D">
              <w:rPr>
                <w:rFonts w:ascii="Times New Roman" w:hAnsi="Times New Roman"/>
                <w:sz w:val="24"/>
                <w:szCs w:val="24"/>
                <w:lang w:val="uk-UA"/>
              </w:rPr>
              <w:t>Tорговий</w:t>
            </w:r>
            <w:proofErr w:type="spellEnd"/>
            <w:r w:rsidRPr="003B488D">
              <w:rPr>
                <w:rFonts w:ascii="Times New Roman" w:hAnsi="Times New Roman"/>
                <w:sz w:val="24"/>
                <w:szCs w:val="24"/>
                <w:lang w:val="uk-UA"/>
              </w:rPr>
              <w:t xml:space="preserve"> </w:t>
            </w:r>
            <w:proofErr w:type="spellStart"/>
            <w:r w:rsidRPr="003B488D">
              <w:rPr>
                <w:rFonts w:ascii="Times New Roman" w:hAnsi="Times New Roman"/>
                <w:sz w:val="24"/>
                <w:szCs w:val="24"/>
                <w:lang w:val="uk-UA"/>
              </w:rPr>
              <w:t>репозиторій</w:t>
            </w:r>
            <w:proofErr w:type="spellEnd"/>
            <w:r w:rsidRPr="003B488D">
              <w:rPr>
                <w:rFonts w:ascii="Times New Roman" w:hAnsi="Times New Roman"/>
                <w:sz w:val="24"/>
                <w:szCs w:val="24"/>
                <w:lang w:val="uk-UA"/>
              </w:rPr>
              <w:t xml:space="preserve"> повинен також бути зобов’язаним здійснювати резервне копіювання наданих йому даних</w:t>
            </w:r>
            <w:r>
              <w:rPr>
                <w:rFonts w:ascii="Times New Roman" w:hAnsi="Times New Roman"/>
                <w:sz w:val="24"/>
                <w:szCs w:val="24"/>
                <w:lang w:val="uk-UA"/>
              </w:rPr>
              <w:t>.</w:t>
            </w:r>
          </w:p>
        </w:tc>
      </w:tr>
      <w:tr w:rsidR="00921723" w:rsidRPr="00074514" w:rsidTr="00BE0224">
        <w:tc>
          <w:tcPr>
            <w:tcW w:w="15920" w:type="dxa"/>
          </w:tcPr>
          <w:p w:rsidR="00921723" w:rsidRDefault="00921723" w:rsidP="00921723">
            <w:pPr>
              <w:pStyle w:val="a5"/>
              <w:jc w:val="center"/>
            </w:pPr>
          </w:p>
        </w:tc>
      </w:tr>
      <w:tr w:rsidR="00074514" w:rsidRPr="00074514" w:rsidTr="00BE0224">
        <w:tc>
          <w:tcPr>
            <w:tcW w:w="15920" w:type="dxa"/>
          </w:tcPr>
          <w:p w:rsidR="00977070" w:rsidRDefault="00977070" w:rsidP="00977070">
            <w:pPr>
              <w:pStyle w:val="a5"/>
              <w:jc w:val="center"/>
              <w:rPr>
                <w:b/>
              </w:rPr>
            </w:pPr>
          </w:p>
          <w:p w:rsidR="003B488D" w:rsidRPr="003B488D" w:rsidRDefault="003B488D" w:rsidP="00977070">
            <w:pPr>
              <w:pStyle w:val="a5"/>
              <w:jc w:val="center"/>
              <w:rPr>
                <w:lang w:val="en-US"/>
              </w:rPr>
            </w:pPr>
            <w:r w:rsidRPr="00977070">
              <w:rPr>
                <w:b/>
              </w:rPr>
              <w:t>І</w:t>
            </w:r>
            <w:r w:rsidRPr="00977070">
              <w:rPr>
                <w:b/>
                <w:lang w:val="en-US"/>
              </w:rPr>
              <w:t xml:space="preserve">V. </w:t>
            </w:r>
            <w:proofErr w:type="spellStart"/>
            <w:r w:rsidRPr="00977070">
              <w:rPr>
                <w:b/>
                <w:lang w:val="en-US"/>
              </w:rPr>
              <w:t>Інші</w:t>
            </w:r>
            <w:proofErr w:type="spellEnd"/>
            <w:r w:rsidRPr="00977070">
              <w:rPr>
                <w:b/>
                <w:lang w:val="en-US"/>
              </w:rPr>
              <w:t xml:space="preserve"> п</w:t>
            </w:r>
            <w:r w:rsidRPr="00977070">
              <w:rPr>
                <w:b/>
              </w:rPr>
              <w:t>и</w:t>
            </w:r>
            <w:proofErr w:type="spellStart"/>
            <w:r w:rsidRPr="00977070">
              <w:rPr>
                <w:b/>
                <w:lang w:val="en-US"/>
              </w:rPr>
              <w:t>тання</w:t>
            </w:r>
            <w:proofErr w:type="spellEnd"/>
          </w:p>
        </w:tc>
      </w:tr>
      <w:tr w:rsidR="00074514" w:rsidRPr="00074514" w:rsidTr="00074514">
        <w:trPr>
          <w:trHeight w:val="212"/>
        </w:trPr>
        <w:tc>
          <w:tcPr>
            <w:tcW w:w="15920" w:type="dxa"/>
          </w:tcPr>
          <w:p w:rsidR="003B488D" w:rsidRPr="003B488D" w:rsidRDefault="003B488D" w:rsidP="003B488D">
            <w:pPr>
              <w:autoSpaceDE w:val="0"/>
              <w:autoSpaceDN w:val="0"/>
              <w:adjustRightInd w:val="0"/>
              <w:spacing w:after="60"/>
              <w:rPr>
                <w:rFonts w:ascii="Times New Roman" w:hAnsi="Times New Roman"/>
                <w:sz w:val="24"/>
                <w:szCs w:val="24"/>
                <w:lang w:val="uk-UA"/>
              </w:rPr>
            </w:pPr>
            <w:r w:rsidRPr="003B488D">
              <w:rPr>
                <w:rFonts w:ascii="Times New Roman" w:hAnsi="Times New Roman"/>
                <w:sz w:val="24"/>
                <w:szCs w:val="24"/>
                <w:lang w:val="uk-UA"/>
              </w:rPr>
              <w:t xml:space="preserve">            1. Податкові питання:</w:t>
            </w:r>
          </w:p>
          <w:p w:rsidR="003B488D" w:rsidRPr="003B488D" w:rsidRDefault="003B488D" w:rsidP="003B488D">
            <w:pPr>
              <w:autoSpaceDE w:val="0"/>
              <w:autoSpaceDN w:val="0"/>
              <w:adjustRightInd w:val="0"/>
              <w:spacing w:after="60"/>
              <w:rPr>
                <w:rFonts w:ascii="Times New Roman" w:hAnsi="Times New Roman"/>
                <w:sz w:val="24"/>
                <w:szCs w:val="24"/>
                <w:lang w:val="uk-UA"/>
              </w:rPr>
            </w:pPr>
            <w:r w:rsidRPr="003B488D">
              <w:rPr>
                <w:rFonts w:ascii="Times New Roman" w:hAnsi="Times New Roman"/>
                <w:sz w:val="24"/>
                <w:szCs w:val="24"/>
                <w:lang w:val="uk-UA"/>
              </w:rPr>
              <w:t xml:space="preserve">              - доцільно встановити чітке правило, згідно з яким внутрішні документи Центрального контрагента щодо здійснених операцій можуть слугувати первинними документами бухгалтерського обліку в Україні.</w:t>
            </w:r>
          </w:p>
          <w:p w:rsidR="003B488D" w:rsidRPr="003B488D" w:rsidRDefault="003B488D" w:rsidP="003B488D">
            <w:pPr>
              <w:autoSpaceDE w:val="0"/>
              <w:autoSpaceDN w:val="0"/>
              <w:adjustRightInd w:val="0"/>
              <w:spacing w:after="60"/>
              <w:rPr>
                <w:rFonts w:ascii="Times New Roman" w:hAnsi="Times New Roman"/>
                <w:sz w:val="24"/>
                <w:szCs w:val="24"/>
                <w:lang w:val="uk-UA"/>
              </w:rPr>
            </w:pPr>
            <w:r w:rsidRPr="003B488D">
              <w:rPr>
                <w:rFonts w:ascii="Times New Roman" w:hAnsi="Times New Roman"/>
                <w:sz w:val="24"/>
                <w:szCs w:val="24"/>
                <w:lang w:val="uk-UA"/>
              </w:rPr>
              <w:t xml:space="preserve">             - для цілей податку на прибуток підприємств оподатковуваний дохід Центрального контрагента визначатиметься згідно з правилами фінансової звітності, і жодні спеціальні податкові різниці не застосовуватимуться;</w:t>
            </w:r>
          </w:p>
          <w:p w:rsidR="003B488D" w:rsidRPr="003B488D" w:rsidRDefault="003B488D" w:rsidP="003B488D">
            <w:pPr>
              <w:autoSpaceDE w:val="0"/>
              <w:autoSpaceDN w:val="0"/>
              <w:adjustRightInd w:val="0"/>
              <w:spacing w:after="60"/>
              <w:rPr>
                <w:rFonts w:ascii="Times New Roman" w:hAnsi="Times New Roman"/>
                <w:sz w:val="24"/>
                <w:szCs w:val="24"/>
                <w:lang w:val="uk-UA"/>
              </w:rPr>
            </w:pPr>
            <w:r w:rsidRPr="003B488D">
              <w:rPr>
                <w:rFonts w:ascii="Times New Roman" w:hAnsi="Times New Roman"/>
                <w:sz w:val="24"/>
                <w:szCs w:val="24"/>
                <w:lang w:val="uk-UA"/>
              </w:rPr>
              <w:t xml:space="preserve">              - для цілей ПДВ, операції, здійснені Центральним контрагентом під час проведення клірингу, не підлягають оподаткуванню ПДВ.</w:t>
            </w:r>
          </w:p>
          <w:p w:rsidR="00074514" w:rsidRDefault="003B488D" w:rsidP="003B488D">
            <w:pPr>
              <w:pStyle w:val="11"/>
              <w:keepNext/>
              <w:keepLines/>
              <w:spacing w:after="0"/>
              <w:ind w:left="0"/>
              <w:rPr>
                <w:rFonts w:ascii="Times New Roman" w:hAnsi="Times New Roman"/>
                <w:sz w:val="24"/>
                <w:szCs w:val="24"/>
                <w:lang w:val="uk-UA"/>
              </w:rPr>
            </w:pPr>
            <w:r w:rsidRPr="003B488D">
              <w:rPr>
                <w:rFonts w:ascii="Times New Roman" w:hAnsi="Times New Roman"/>
                <w:sz w:val="24"/>
                <w:szCs w:val="24"/>
                <w:lang w:val="uk-UA"/>
              </w:rPr>
              <w:t xml:space="preserve">     </w:t>
            </w:r>
            <w:r w:rsidR="00021F2A">
              <w:rPr>
                <w:rFonts w:ascii="Times New Roman" w:hAnsi="Times New Roman"/>
                <w:sz w:val="24"/>
                <w:szCs w:val="24"/>
                <w:lang w:val="uk-UA"/>
              </w:rPr>
              <w:t xml:space="preserve">       </w:t>
            </w:r>
            <w:r w:rsidRPr="003B488D">
              <w:rPr>
                <w:rFonts w:ascii="Times New Roman" w:hAnsi="Times New Roman"/>
                <w:sz w:val="24"/>
                <w:szCs w:val="24"/>
                <w:lang w:val="uk-UA"/>
              </w:rPr>
              <w:t>2. Електроні</w:t>
            </w:r>
            <w:r w:rsidR="00021F2A">
              <w:rPr>
                <w:rFonts w:ascii="Times New Roman" w:hAnsi="Times New Roman"/>
                <w:sz w:val="24"/>
                <w:szCs w:val="24"/>
                <w:lang w:val="uk-UA"/>
              </w:rPr>
              <w:t xml:space="preserve"> документи:</w:t>
            </w:r>
          </w:p>
          <w:p w:rsidR="00021F2A" w:rsidRPr="00021F2A" w:rsidRDefault="00021F2A" w:rsidP="00021F2A">
            <w:pPr>
              <w:pStyle w:val="ListParagraph1"/>
              <w:widowControl w:val="0"/>
              <w:ind w:left="0"/>
              <w:rPr>
                <w:rFonts w:ascii="Times New Roman" w:hAnsi="Times New Roman"/>
                <w:sz w:val="24"/>
                <w:szCs w:val="24"/>
                <w:lang w:val="uk-UA"/>
              </w:rPr>
            </w:pPr>
            <w:r>
              <w:rPr>
                <w:rFonts w:cs="Arial"/>
                <w:szCs w:val="20"/>
                <w:lang w:val="uk-UA"/>
              </w:rPr>
              <w:t xml:space="preserve">         </w:t>
            </w:r>
            <w:r w:rsidRPr="00021F2A">
              <w:rPr>
                <w:rFonts w:ascii="Times New Roman" w:hAnsi="Times New Roman"/>
                <w:sz w:val="24"/>
                <w:szCs w:val="24"/>
                <w:lang w:val="uk-UA"/>
              </w:rPr>
              <w:t>Закон про депозитарну систему повинен чітко дозволяти створювати будь-який документ в електронному форматі; зазначати виключний перелік документів, паперові копії яких мають бути створені та зберігатися; вимагати створення сховища оригінальних електронних документів; уповноважити НКЦПФР затверджувати процедури обліку та обробки (копіювання) електронних документів;</w:t>
            </w:r>
          </w:p>
          <w:p w:rsidR="00021F2A" w:rsidRPr="00021F2A" w:rsidRDefault="00021F2A" w:rsidP="00021F2A">
            <w:pPr>
              <w:pStyle w:val="ListParagraph1"/>
              <w:widowControl w:val="0"/>
              <w:ind w:left="0"/>
              <w:rPr>
                <w:rFonts w:ascii="Times New Roman" w:hAnsi="Times New Roman"/>
                <w:sz w:val="24"/>
                <w:szCs w:val="24"/>
                <w:lang w:val="uk-UA"/>
              </w:rPr>
            </w:pPr>
            <w:r w:rsidRPr="00021F2A">
              <w:rPr>
                <w:rFonts w:ascii="Times New Roman" w:hAnsi="Times New Roman"/>
                <w:sz w:val="24"/>
                <w:szCs w:val="24"/>
                <w:lang w:val="uk-UA"/>
              </w:rPr>
              <w:t xml:space="preserve">        Закон про ЕЦП повинен надавати повноваження НКЦПФР стосовно використання електронних підписів, подібні до повноважень НБУ.</w:t>
            </w:r>
          </w:p>
          <w:p w:rsidR="00021F2A" w:rsidRDefault="00021F2A" w:rsidP="00021F2A">
            <w:pPr>
              <w:pStyle w:val="11"/>
              <w:keepNext/>
              <w:keepLines/>
              <w:spacing w:after="0"/>
              <w:ind w:left="0"/>
              <w:rPr>
                <w:rFonts w:ascii="Times New Roman" w:hAnsi="Times New Roman"/>
                <w:sz w:val="24"/>
                <w:szCs w:val="24"/>
                <w:lang w:val="uk-UA"/>
              </w:rPr>
            </w:pPr>
            <w:r w:rsidRPr="00021F2A">
              <w:rPr>
                <w:rFonts w:ascii="Times New Roman" w:hAnsi="Times New Roman"/>
                <w:sz w:val="24"/>
                <w:szCs w:val="24"/>
                <w:lang w:val="uk-UA"/>
              </w:rPr>
              <w:t xml:space="preserve">        Закон про електронну комерцію має прямо зазначати, що він не застосовується до договорів на ринках капіталу.</w:t>
            </w:r>
          </w:p>
          <w:p w:rsidR="009C7865" w:rsidRDefault="00021F2A" w:rsidP="001223A9">
            <w:pPr>
              <w:pStyle w:val="11"/>
              <w:keepNext/>
              <w:keepLines/>
              <w:spacing w:after="0"/>
              <w:ind w:left="0"/>
              <w:rPr>
                <w:rFonts w:ascii="Times New Roman" w:hAnsi="Times New Roman"/>
                <w:sz w:val="24"/>
                <w:szCs w:val="24"/>
                <w:lang w:val="uk-UA"/>
              </w:rPr>
            </w:pPr>
            <w:r>
              <w:rPr>
                <w:rFonts w:ascii="Times New Roman" w:hAnsi="Times New Roman"/>
                <w:sz w:val="24"/>
                <w:szCs w:val="24"/>
                <w:lang w:val="uk-UA"/>
              </w:rPr>
              <w:t xml:space="preserve">               3. </w:t>
            </w:r>
            <w:r w:rsidR="001223A9">
              <w:rPr>
                <w:rFonts w:ascii="Times New Roman" w:hAnsi="Times New Roman"/>
                <w:sz w:val="24"/>
                <w:szCs w:val="24"/>
                <w:lang w:val="uk-UA"/>
              </w:rPr>
              <w:t xml:space="preserve">Набрання чинності та правила перехідного періоду. </w:t>
            </w:r>
          </w:p>
          <w:p w:rsidR="00021F2A" w:rsidRPr="003B488D" w:rsidRDefault="009C7865" w:rsidP="001223A9">
            <w:pPr>
              <w:pStyle w:val="11"/>
              <w:keepNext/>
              <w:keepLines/>
              <w:spacing w:after="0"/>
              <w:ind w:left="0"/>
              <w:rPr>
                <w:rFonts w:ascii="Times New Roman" w:hAnsi="Times New Roman"/>
                <w:sz w:val="24"/>
                <w:szCs w:val="24"/>
                <w:lang w:val="uk-UA"/>
              </w:rPr>
            </w:pPr>
            <w:r>
              <w:rPr>
                <w:rFonts w:ascii="Times New Roman" w:hAnsi="Times New Roman"/>
                <w:sz w:val="24"/>
                <w:szCs w:val="24"/>
                <w:lang w:val="uk-UA"/>
              </w:rPr>
              <w:t xml:space="preserve">               </w:t>
            </w:r>
            <w:r w:rsidR="001223A9">
              <w:rPr>
                <w:rFonts w:ascii="Times New Roman" w:hAnsi="Times New Roman"/>
                <w:sz w:val="24"/>
                <w:szCs w:val="24"/>
                <w:lang w:val="uk-UA"/>
              </w:rPr>
              <w:t xml:space="preserve">Зміни до законодавства щодо реформування інфраструктури мають набирати чинності поступово, але не раніше ніж через рік з дати офіційного опублікування. НКЦПФР та НБУ має затвердити план графік набрання чинності найбільш </w:t>
            </w:r>
            <w:proofErr w:type="spellStart"/>
            <w:r w:rsidR="001223A9">
              <w:rPr>
                <w:rFonts w:ascii="Times New Roman" w:hAnsi="Times New Roman"/>
                <w:sz w:val="24"/>
                <w:szCs w:val="24"/>
                <w:lang w:val="uk-UA"/>
              </w:rPr>
              <w:t>капіталозатратних</w:t>
            </w:r>
            <w:proofErr w:type="spellEnd"/>
            <w:r w:rsidR="001223A9">
              <w:rPr>
                <w:rFonts w:ascii="Times New Roman" w:hAnsi="Times New Roman"/>
                <w:sz w:val="24"/>
                <w:szCs w:val="24"/>
                <w:lang w:val="uk-UA"/>
              </w:rPr>
              <w:t xml:space="preserve"> та обтяжливих положень.</w:t>
            </w:r>
          </w:p>
        </w:tc>
      </w:tr>
      <w:tr w:rsidR="00074514" w:rsidRPr="00074514" w:rsidTr="00BE0224">
        <w:tc>
          <w:tcPr>
            <w:tcW w:w="15920" w:type="dxa"/>
          </w:tcPr>
          <w:p w:rsidR="00074514" w:rsidRDefault="00074514" w:rsidP="00921723">
            <w:pPr>
              <w:pStyle w:val="a5"/>
              <w:jc w:val="center"/>
            </w:pPr>
          </w:p>
        </w:tc>
      </w:tr>
      <w:tr w:rsidR="00074514" w:rsidRPr="00074514" w:rsidTr="00BE0224">
        <w:tc>
          <w:tcPr>
            <w:tcW w:w="15920" w:type="dxa"/>
          </w:tcPr>
          <w:p w:rsidR="00074514" w:rsidRDefault="00074514" w:rsidP="00921723">
            <w:pPr>
              <w:pStyle w:val="a5"/>
              <w:jc w:val="center"/>
            </w:pPr>
          </w:p>
        </w:tc>
      </w:tr>
      <w:tr w:rsidR="00074514" w:rsidRPr="00074514" w:rsidTr="00BE0224">
        <w:tc>
          <w:tcPr>
            <w:tcW w:w="15920" w:type="dxa"/>
          </w:tcPr>
          <w:p w:rsidR="00074514" w:rsidRDefault="00074514" w:rsidP="00921723">
            <w:pPr>
              <w:pStyle w:val="a5"/>
              <w:jc w:val="center"/>
            </w:pPr>
          </w:p>
        </w:tc>
      </w:tr>
    </w:tbl>
    <w:p w:rsidR="00635409" w:rsidRPr="004C48EA" w:rsidRDefault="00635409" w:rsidP="00635409">
      <w:pPr>
        <w:pStyle w:val="1"/>
        <w:keepNext w:val="0"/>
        <w:keepLines w:val="0"/>
        <w:spacing w:before="480" w:beforeAutospacing="0"/>
        <w:jc w:val="center"/>
        <w:rPr>
          <w:lang w:val="uk-UA"/>
        </w:rPr>
        <w:sectPr w:rsidR="00635409" w:rsidRPr="004C48EA" w:rsidSect="004E5390">
          <w:footerReference w:type="default" r:id="rId7"/>
          <w:pgSz w:w="11906" w:h="16838"/>
          <w:pgMar w:top="567" w:right="567" w:bottom="567" w:left="567" w:header="709" w:footer="709" w:gutter="0"/>
          <w:cols w:space="708"/>
          <w:titlePg/>
          <w:docGrid w:linePitch="360"/>
        </w:sectPr>
      </w:pPr>
    </w:p>
    <w:p w:rsidR="007A1BA1" w:rsidRPr="00DA44B3" w:rsidRDefault="00635409" w:rsidP="00635409">
      <w:pPr>
        <w:rPr>
          <w:lang w:val="uk-UA"/>
        </w:rPr>
      </w:pPr>
      <w:r w:rsidRPr="004C48EA">
        <w:rPr>
          <w:b/>
          <w:i/>
          <w:lang w:val="uk-UA"/>
        </w:rPr>
        <w:lastRenderedPageBreak/>
        <w:br w:type="page"/>
      </w:r>
    </w:p>
    <w:sectPr w:rsidR="007A1BA1" w:rsidRPr="00DA44B3">
      <w:pgSz w:w="11906" w:h="16838"/>
      <w:pgMar w:top="850" w:right="850" w:bottom="850"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450" w:rsidRDefault="009F0450">
      <w:pPr>
        <w:spacing w:after="0"/>
      </w:pPr>
      <w:r>
        <w:separator/>
      </w:r>
    </w:p>
  </w:endnote>
  <w:endnote w:type="continuationSeparator" w:id="0">
    <w:p w:rsidR="009F0450" w:rsidRDefault="009F0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04E" w:rsidRPr="00083AFA" w:rsidRDefault="005E190B">
    <w:pPr>
      <w:pStyle w:val="a3"/>
      <w:jc w:val="center"/>
      <w:rPr>
        <w:rFonts w:cs="Arial"/>
        <w:szCs w:val="20"/>
      </w:rPr>
    </w:pPr>
    <w:r>
      <w:fldChar w:fldCharType="begin"/>
    </w:r>
    <w:r>
      <w:instrText xml:space="preserve"> PAGE   \* MERGEFORMAT </w:instrText>
    </w:r>
    <w:r>
      <w:fldChar w:fldCharType="separate"/>
    </w:r>
    <w:r w:rsidR="004415DD">
      <w:rPr>
        <w:noProof/>
      </w:rPr>
      <w:t>2</w:t>
    </w:r>
    <w:r>
      <w:fldChar w:fldCharType="end"/>
    </w:r>
  </w:p>
  <w:p w:rsidR="003A504E" w:rsidRDefault="009F0450">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450" w:rsidRDefault="009F0450">
      <w:pPr>
        <w:spacing w:after="0"/>
      </w:pPr>
      <w:r>
        <w:separator/>
      </w:r>
    </w:p>
  </w:footnote>
  <w:footnote w:type="continuationSeparator" w:id="0">
    <w:p w:rsidR="009F0450" w:rsidRDefault="009F045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15E5"/>
    <w:multiLevelType w:val="multilevel"/>
    <w:tmpl w:val="314EF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70260"/>
    <w:multiLevelType w:val="hybridMultilevel"/>
    <w:tmpl w:val="8578D0FC"/>
    <w:lvl w:ilvl="0" w:tplc="0422000F">
      <w:start w:val="1"/>
      <w:numFmt w:val="decimal"/>
      <w:lvlText w:val="%1."/>
      <w:lvlJc w:val="left"/>
      <w:pPr>
        <w:ind w:left="1620" w:hanging="360"/>
      </w:pPr>
    </w:lvl>
    <w:lvl w:ilvl="1" w:tplc="04220019" w:tentative="1">
      <w:start w:val="1"/>
      <w:numFmt w:val="lowerLetter"/>
      <w:lvlText w:val="%2."/>
      <w:lvlJc w:val="left"/>
      <w:pPr>
        <w:ind w:left="2340" w:hanging="360"/>
      </w:pPr>
    </w:lvl>
    <w:lvl w:ilvl="2" w:tplc="0422001B" w:tentative="1">
      <w:start w:val="1"/>
      <w:numFmt w:val="lowerRoman"/>
      <w:lvlText w:val="%3."/>
      <w:lvlJc w:val="right"/>
      <w:pPr>
        <w:ind w:left="3060" w:hanging="180"/>
      </w:pPr>
    </w:lvl>
    <w:lvl w:ilvl="3" w:tplc="0422000F" w:tentative="1">
      <w:start w:val="1"/>
      <w:numFmt w:val="decimal"/>
      <w:lvlText w:val="%4."/>
      <w:lvlJc w:val="left"/>
      <w:pPr>
        <w:ind w:left="3780" w:hanging="360"/>
      </w:pPr>
    </w:lvl>
    <w:lvl w:ilvl="4" w:tplc="04220019" w:tentative="1">
      <w:start w:val="1"/>
      <w:numFmt w:val="lowerLetter"/>
      <w:lvlText w:val="%5."/>
      <w:lvlJc w:val="left"/>
      <w:pPr>
        <w:ind w:left="4500" w:hanging="360"/>
      </w:pPr>
    </w:lvl>
    <w:lvl w:ilvl="5" w:tplc="0422001B" w:tentative="1">
      <w:start w:val="1"/>
      <w:numFmt w:val="lowerRoman"/>
      <w:lvlText w:val="%6."/>
      <w:lvlJc w:val="right"/>
      <w:pPr>
        <w:ind w:left="5220" w:hanging="180"/>
      </w:pPr>
    </w:lvl>
    <w:lvl w:ilvl="6" w:tplc="0422000F" w:tentative="1">
      <w:start w:val="1"/>
      <w:numFmt w:val="decimal"/>
      <w:lvlText w:val="%7."/>
      <w:lvlJc w:val="left"/>
      <w:pPr>
        <w:ind w:left="5940" w:hanging="360"/>
      </w:pPr>
    </w:lvl>
    <w:lvl w:ilvl="7" w:tplc="04220019" w:tentative="1">
      <w:start w:val="1"/>
      <w:numFmt w:val="lowerLetter"/>
      <w:lvlText w:val="%8."/>
      <w:lvlJc w:val="left"/>
      <w:pPr>
        <w:ind w:left="6660" w:hanging="360"/>
      </w:pPr>
    </w:lvl>
    <w:lvl w:ilvl="8" w:tplc="0422001B" w:tentative="1">
      <w:start w:val="1"/>
      <w:numFmt w:val="lowerRoman"/>
      <w:lvlText w:val="%9."/>
      <w:lvlJc w:val="right"/>
      <w:pPr>
        <w:ind w:left="7380" w:hanging="180"/>
      </w:pPr>
    </w:lvl>
  </w:abstractNum>
  <w:abstractNum w:abstractNumId="2" w15:restartNumberingAfterBreak="0">
    <w:nsid w:val="12D5233B"/>
    <w:multiLevelType w:val="hybridMultilevel"/>
    <w:tmpl w:val="0E24EDAC"/>
    <w:lvl w:ilvl="0" w:tplc="90940770">
      <w:start w:val="1"/>
      <w:numFmt w:val="decimal"/>
      <w:lvlText w:val="(%1)"/>
      <w:lvlJc w:val="left"/>
      <w:pPr>
        <w:ind w:left="720" w:hanging="360"/>
      </w:pPr>
      <w:rPr>
        <w:rFonts w:cs="Times New Roman" w:hint="default"/>
        <w:b w:val="0"/>
        <w:i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59953CC"/>
    <w:multiLevelType w:val="hybridMultilevel"/>
    <w:tmpl w:val="7AF0E2B6"/>
    <w:lvl w:ilvl="0" w:tplc="4332665E">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7D7057"/>
    <w:multiLevelType w:val="hybridMultilevel"/>
    <w:tmpl w:val="A1F24362"/>
    <w:lvl w:ilvl="0" w:tplc="701EAF68">
      <w:start w:val="1"/>
      <w:numFmt w:val="bullet"/>
      <w:lvlText w:val=""/>
      <w:lvlJc w:val="left"/>
      <w:pPr>
        <w:ind w:left="720" w:hanging="360"/>
      </w:pPr>
      <w:rPr>
        <w:rFonts w:ascii="Wingdings" w:hAnsi="Wingdings" w:hint="default"/>
        <w:i w:val="0"/>
        <w:color w:val="8A0054"/>
        <w:sz w:val="24"/>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F48DE"/>
    <w:multiLevelType w:val="hybridMultilevel"/>
    <w:tmpl w:val="582E5BD2"/>
    <w:lvl w:ilvl="0" w:tplc="D1A42C3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B66345"/>
    <w:multiLevelType w:val="hybridMultilevel"/>
    <w:tmpl w:val="FF72755E"/>
    <w:lvl w:ilvl="0" w:tplc="D1A42C3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72F2474"/>
    <w:multiLevelType w:val="hybridMultilevel"/>
    <w:tmpl w:val="0E24EDAC"/>
    <w:lvl w:ilvl="0" w:tplc="90940770">
      <w:start w:val="1"/>
      <w:numFmt w:val="decimal"/>
      <w:lvlText w:val="(%1)"/>
      <w:lvlJc w:val="left"/>
      <w:pPr>
        <w:ind w:left="720" w:hanging="360"/>
      </w:pPr>
      <w:rPr>
        <w:rFonts w:cs="Times New Roman" w:hint="default"/>
        <w:b w:val="0"/>
        <w:i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52D462BC"/>
    <w:multiLevelType w:val="hybridMultilevel"/>
    <w:tmpl w:val="FF72755E"/>
    <w:lvl w:ilvl="0" w:tplc="D1A42C3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60E74E0F"/>
    <w:multiLevelType w:val="hybridMultilevel"/>
    <w:tmpl w:val="0E24EDAC"/>
    <w:lvl w:ilvl="0" w:tplc="90940770">
      <w:start w:val="1"/>
      <w:numFmt w:val="decimal"/>
      <w:lvlText w:val="(%1)"/>
      <w:lvlJc w:val="left"/>
      <w:pPr>
        <w:ind w:left="720" w:hanging="360"/>
      </w:pPr>
      <w:rPr>
        <w:rFonts w:cs="Times New Roman" w:hint="default"/>
        <w:b w:val="0"/>
        <w:i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7416847"/>
    <w:multiLevelType w:val="hybridMultilevel"/>
    <w:tmpl w:val="70DE514E"/>
    <w:lvl w:ilvl="0" w:tplc="0422000F">
      <w:start w:val="1"/>
      <w:numFmt w:val="decimal"/>
      <w:lvlText w:val="%1."/>
      <w:lvlJc w:val="left"/>
      <w:pPr>
        <w:ind w:left="1620" w:hanging="360"/>
      </w:pPr>
    </w:lvl>
    <w:lvl w:ilvl="1" w:tplc="04220019" w:tentative="1">
      <w:start w:val="1"/>
      <w:numFmt w:val="lowerLetter"/>
      <w:lvlText w:val="%2."/>
      <w:lvlJc w:val="left"/>
      <w:pPr>
        <w:ind w:left="2340" w:hanging="360"/>
      </w:pPr>
    </w:lvl>
    <w:lvl w:ilvl="2" w:tplc="0422001B" w:tentative="1">
      <w:start w:val="1"/>
      <w:numFmt w:val="lowerRoman"/>
      <w:lvlText w:val="%3."/>
      <w:lvlJc w:val="right"/>
      <w:pPr>
        <w:ind w:left="3060" w:hanging="180"/>
      </w:pPr>
    </w:lvl>
    <w:lvl w:ilvl="3" w:tplc="0422000F" w:tentative="1">
      <w:start w:val="1"/>
      <w:numFmt w:val="decimal"/>
      <w:lvlText w:val="%4."/>
      <w:lvlJc w:val="left"/>
      <w:pPr>
        <w:ind w:left="3780" w:hanging="360"/>
      </w:pPr>
    </w:lvl>
    <w:lvl w:ilvl="4" w:tplc="04220019" w:tentative="1">
      <w:start w:val="1"/>
      <w:numFmt w:val="lowerLetter"/>
      <w:lvlText w:val="%5."/>
      <w:lvlJc w:val="left"/>
      <w:pPr>
        <w:ind w:left="4500" w:hanging="360"/>
      </w:pPr>
    </w:lvl>
    <w:lvl w:ilvl="5" w:tplc="0422001B" w:tentative="1">
      <w:start w:val="1"/>
      <w:numFmt w:val="lowerRoman"/>
      <w:lvlText w:val="%6."/>
      <w:lvlJc w:val="right"/>
      <w:pPr>
        <w:ind w:left="5220" w:hanging="180"/>
      </w:pPr>
    </w:lvl>
    <w:lvl w:ilvl="6" w:tplc="0422000F" w:tentative="1">
      <w:start w:val="1"/>
      <w:numFmt w:val="decimal"/>
      <w:lvlText w:val="%7."/>
      <w:lvlJc w:val="left"/>
      <w:pPr>
        <w:ind w:left="5940" w:hanging="360"/>
      </w:pPr>
    </w:lvl>
    <w:lvl w:ilvl="7" w:tplc="04220019" w:tentative="1">
      <w:start w:val="1"/>
      <w:numFmt w:val="lowerLetter"/>
      <w:lvlText w:val="%8."/>
      <w:lvlJc w:val="left"/>
      <w:pPr>
        <w:ind w:left="6660" w:hanging="360"/>
      </w:pPr>
    </w:lvl>
    <w:lvl w:ilvl="8" w:tplc="0422001B" w:tentative="1">
      <w:start w:val="1"/>
      <w:numFmt w:val="lowerRoman"/>
      <w:lvlText w:val="%9."/>
      <w:lvlJc w:val="right"/>
      <w:pPr>
        <w:ind w:left="7380" w:hanging="180"/>
      </w:pPr>
    </w:lvl>
  </w:abstractNum>
  <w:abstractNum w:abstractNumId="11" w15:restartNumberingAfterBreak="0">
    <w:nsid w:val="67C413AE"/>
    <w:multiLevelType w:val="hybridMultilevel"/>
    <w:tmpl w:val="E93665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235325"/>
    <w:multiLevelType w:val="multilevel"/>
    <w:tmpl w:val="F7A4EB66"/>
    <w:lvl w:ilvl="0">
      <w:start w:val="1"/>
      <w:numFmt w:val="decimal"/>
      <w:lvlText w:val="%1."/>
      <w:lvlJc w:val="left"/>
      <w:pPr>
        <w:ind w:left="360" w:hanging="360"/>
      </w:pPr>
      <w:rPr>
        <w:rFonts w:cs="Arial" w:hint="default"/>
      </w:rPr>
    </w:lvl>
    <w:lvl w:ilvl="1">
      <w:start w:val="1"/>
      <w:numFmt w:val="decimal"/>
      <w:lvlText w:val="%1.%2."/>
      <w:lvlJc w:val="left"/>
      <w:pPr>
        <w:ind w:left="840" w:hanging="360"/>
      </w:pPr>
      <w:rPr>
        <w:rFonts w:cs="Arial" w:hint="default"/>
      </w:rPr>
    </w:lvl>
    <w:lvl w:ilvl="2">
      <w:start w:val="1"/>
      <w:numFmt w:val="decimal"/>
      <w:lvlText w:val="%1.%2.%3."/>
      <w:lvlJc w:val="left"/>
      <w:pPr>
        <w:ind w:left="1680" w:hanging="720"/>
      </w:pPr>
      <w:rPr>
        <w:rFonts w:cs="Arial" w:hint="default"/>
      </w:rPr>
    </w:lvl>
    <w:lvl w:ilvl="3">
      <w:start w:val="1"/>
      <w:numFmt w:val="decimal"/>
      <w:lvlText w:val="%1.%2.%3.%4."/>
      <w:lvlJc w:val="left"/>
      <w:pPr>
        <w:ind w:left="2160" w:hanging="720"/>
      </w:pPr>
      <w:rPr>
        <w:rFonts w:cs="Arial" w:hint="default"/>
      </w:rPr>
    </w:lvl>
    <w:lvl w:ilvl="4">
      <w:start w:val="1"/>
      <w:numFmt w:val="decimal"/>
      <w:lvlText w:val="%1.%2.%3.%4.%5."/>
      <w:lvlJc w:val="left"/>
      <w:pPr>
        <w:ind w:left="3000" w:hanging="1080"/>
      </w:pPr>
      <w:rPr>
        <w:rFonts w:cs="Arial" w:hint="default"/>
      </w:rPr>
    </w:lvl>
    <w:lvl w:ilvl="5">
      <w:start w:val="1"/>
      <w:numFmt w:val="decimal"/>
      <w:lvlText w:val="%1.%2.%3.%4.%5.%6."/>
      <w:lvlJc w:val="left"/>
      <w:pPr>
        <w:ind w:left="3480" w:hanging="1080"/>
      </w:pPr>
      <w:rPr>
        <w:rFonts w:cs="Arial" w:hint="default"/>
      </w:rPr>
    </w:lvl>
    <w:lvl w:ilvl="6">
      <w:start w:val="1"/>
      <w:numFmt w:val="decimal"/>
      <w:lvlText w:val="%1.%2.%3.%4.%5.%6.%7."/>
      <w:lvlJc w:val="left"/>
      <w:pPr>
        <w:ind w:left="4320" w:hanging="1440"/>
      </w:pPr>
      <w:rPr>
        <w:rFonts w:cs="Arial" w:hint="default"/>
      </w:rPr>
    </w:lvl>
    <w:lvl w:ilvl="7">
      <w:start w:val="1"/>
      <w:numFmt w:val="decimal"/>
      <w:lvlText w:val="%1.%2.%3.%4.%5.%6.%7.%8."/>
      <w:lvlJc w:val="left"/>
      <w:pPr>
        <w:ind w:left="4800" w:hanging="1440"/>
      </w:pPr>
      <w:rPr>
        <w:rFonts w:cs="Arial" w:hint="default"/>
      </w:rPr>
    </w:lvl>
    <w:lvl w:ilvl="8">
      <w:start w:val="1"/>
      <w:numFmt w:val="decimal"/>
      <w:lvlText w:val="%1.%2.%3.%4.%5.%6.%7.%8.%9."/>
      <w:lvlJc w:val="left"/>
      <w:pPr>
        <w:ind w:left="5640" w:hanging="1800"/>
      </w:pPr>
      <w:rPr>
        <w:rFonts w:cs="Arial" w:hint="default"/>
      </w:rPr>
    </w:lvl>
  </w:abstractNum>
  <w:abstractNum w:abstractNumId="13" w15:restartNumberingAfterBreak="0">
    <w:nsid w:val="7445406E"/>
    <w:multiLevelType w:val="multilevel"/>
    <w:tmpl w:val="FF420DF8"/>
    <w:lvl w:ilvl="0">
      <w:start w:val="1"/>
      <w:numFmt w:val="decimal"/>
      <w:lvlText w:val="%1."/>
      <w:lvlJc w:val="left"/>
      <w:pPr>
        <w:ind w:left="360" w:hanging="360"/>
      </w:pPr>
      <w:rPr>
        <w:rFonts w:cs="Arial" w:hint="default"/>
      </w:rPr>
    </w:lvl>
    <w:lvl w:ilvl="1">
      <w:start w:val="1"/>
      <w:numFmt w:val="decimal"/>
      <w:lvlText w:val="%1.%2."/>
      <w:lvlJc w:val="left"/>
      <w:pPr>
        <w:ind w:left="1200" w:hanging="360"/>
      </w:pPr>
      <w:rPr>
        <w:rFonts w:cs="Arial" w:hint="default"/>
      </w:rPr>
    </w:lvl>
    <w:lvl w:ilvl="2">
      <w:start w:val="1"/>
      <w:numFmt w:val="decimal"/>
      <w:lvlText w:val="%1.%2.%3."/>
      <w:lvlJc w:val="left"/>
      <w:pPr>
        <w:ind w:left="2400" w:hanging="720"/>
      </w:pPr>
      <w:rPr>
        <w:rFonts w:cs="Arial" w:hint="default"/>
      </w:rPr>
    </w:lvl>
    <w:lvl w:ilvl="3">
      <w:start w:val="1"/>
      <w:numFmt w:val="decimal"/>
      <w:lvlText w:val="%1.%2.%3.%4."/>
      <w:lvlJc w:val="left"/>
      <w:pPr>
        <w:ind w:left="3240" w:hanging="720"/>
      </w:pPr>
      <w:rPr>
        <w:rFonts w:cs="Arial" w:hint="default"/>
      </w:rPr>
    </w:lvl>
    <w:lvl w:ilvl="4">
      <w:start w:val="1"/>
      <w:numFmt w:val="decimal"/>
      <w:lvlText w:val="%1.%2.%3.%4.%5."/>
      <w:lvlJc w:val="left"/>
      <w:pPr>
        <w:ind w:left="4440" w:hanging="1080"/>
      </w:pPr>
      <w:rPr>
        <w:rFonts w:cs="Arial" w:hint="default"/>
      </w:rPr>
    </w:lvl>
    <w:lvl w:ilvl="5">
      <w:start w:val="1"/>
      <w:numFmt w:val="decimal"/>
      <w:lvlText w:val="%1.%2.%3.%4.%5.%6."/>
      <w:lvlJc w:val="left"/>
      <w:pPr>
        <w:ind w:left="5280" w:hanging="1080"/>
      </w:pPr>
      <w:rPr>
        <w:rFonts w:cs="Arial" w:hint="default"/>
      </w:rPr>
    </w:lvl>
    <w:lvl w:ilvl="6">
      <w:start w:val="1"/>
      <w:numFmt w:val="decimal"/>
      <w:lvlText w:val="%1.%2.%3.%4.%5.%6.%7."/>
      <w:lvlJc w:val="left"/>
      <w:pPr>
        <w:ind w:left="6480" w:hanging="1440"/>
      </w:pPr>
      <w:rPr>
        <w:rFonts w:cs="Arial" w:hint="default"/>
      </w:rPr>
    </w:lvl>
    <w:lvl w:ilvl="7">
      <w:start w:val="1"/>
      <w:numFmt w:val="decimal"/>
      <w:lvlText w:val="%1.%2.%3.%4.%5.%6.%7.%8."/>
      <w:lvlJc w:val="left"/>
      <w:pPr>
        <w:ind w:left="7320" w:hanging="1440"/>
      </w:pPr>
      <w:rPr>
        <w:rFonts w:cs="Arial" w:hint="default"/>
      </w:rPr>
    </w:lvl>
    <w:lvl w:ilvl="8">
      <w:start w:val="1"/>
      <w:numFmt w:val="decimal"/>
      <w:lvlText w:val="%1.%2.%3.%4.%5.%6.%7.%8.%9."/>
      <w:lvlJc w:val="left"/>
      <w:pPr>
        <w:ind w:left="8520" w:hanging="1800"/>
      </w:pPr>
      <w:rPr>
        <w:rFonts w:cs="Arial" w:hint="default"/>
      </w:rPr>
    </w:lvl>
  </w:abstractNum>
  <w:num w:numId="1">
    <w:abstractNumId w:val="4"/>
  </w:num>
  <w:num w:numId="2">
    <w:abstractNumId w:val="0"/>
  </w:num>
  <w:num w:numId="3">
    <w:abstractNumId w:val="3"/>
  </w:num>
  <w:num w:numId="4">
    <w:abstractNumId w:val="8"/>
  </w:num>
  <w:num w:numId="5">
    <w:abstractNumId w:val="1"/>
  </w:num>
  <w:num w:numId="6">
    <w:abstractNumId w:val="10"/>
  </w:num>
  <w:num w:numId="7">
    <w:abstractNumId w:val="6"/>
  </w:num>
  <w:num w:numId="8">
    <w:abstractNumId w:val="5"/>
  </w:num>
  <w:num w:numId="9">
    <w:abstractNumId w:val="12"/>
  </w:num>
  <w:num w:numId="10">
    <w:abstractNumId w:val="13"/>
  </w:num>
  <w:num w:numId="11">
    <w:abstractNumId w:val="7"/>
  </w:num>
  <w:num w:numId="12">
    <w:abstractNumId w:val="9"/>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C89"/>
    <w:rsid w:val="000170FF"/>
    <w:rsid w:val="00021F2A"/>
    <w:rsid w:val="00074514"/>
    <w:rsid w:val="001019BD"/>
    <w:rsid w:val="001223A9"/>
    <w:rsid w:val="00135BAB"/>
    <w:rsid w:val="001C77A7"/>
    <w:rsid w:val="001E4F57"/>
    <w:rsid w:val="002F1FE1"/>
    <w:rsid w:val="00300C89"/>
    <w:rsid w:val="003170DA"/>
    <w:rsid w:val="0039065C"/>
    <w:rsid w:val="003B488D"/>
    <w:rsid w:val="003B71F2"/>
    <w:rsid w:val="003C0243"/>
    <w:rsid w:val="004415DD"/>
    <w:rsid w:val="00450244"/>
    <w:rsid w:val="00490142"/>
    <w:rsid w:val="004D0CD6"/>
    <w:rsid w:val="004D12F9"/>
    <w:rsid w:val="004D3534"/>
    <w:rsid w:val="004E5390"/>
    <w:rsid w:val="00537BAE"/>
    <w:rsid w:val="005E190B"/>
    <w:rsid w:val="00613096"/>
    <w:rsid w:val="00635409"/>
    <w:rsid w:val="006A7FC0"/>
    <w:rsid w:val="006E0FF6"/>
    <w:rsid w:val="006F3468"/>
    <w:rsid w:val="0070695D"/>
    <w:rsid w:val="00770AED"/>
    <w:rsid w:val="007B6C4C"/>
    <w:rsid w:val="00861676"/>
    <w:rsid w:val="00921723"/>
    <w:rsid w:val="0092580D"/>
    <w:rsid w:val="009530C5"/>
    <w:rsid w:val="00976280"/>
    <w:rsid w:val="00977070"/>
    <w:rsid w:val="009A3A6C"/>
    <w:rsid w:val="009C7865"/>
    <w:rsid w:val="009F0450"/>
    <w:rsid w:val="00A30FFD"/>
    <w:rsid w:val="00A87DB4"/>
    <w:rsid w:val="00AC3008"/>
    <w:rsid w:val="00AD7935"/>
    <w:rsid w:val="00B17557"/>
    <w:rsid w:val="00B2043E"/>
    <w:rsid w:val="00B473B4"/>
    <w:rsid w:val="00B7515D"/>
    <w:rsid w:val="00B94FFC"/>
    <w:rsid w:val="00BA0E7F"/>
    <w:rsid w:val="00C97F52"/>
    <w:rsid w:val="00D535F1"/>
    <w:rsid w:val="00D94856"/>
    <w:rsid w:val="00DA44B3"/>
    <w:rsid w:val="00E00643"/>
    <w:rsid w:val="00EC69A4"/>
    <w:rsid w:val="00F46B46"/>
    <w:rsid w:val="00F957F9"/>
    <w:rsid w:val="00FE24E6"/>
    <w:rsid w:val="00FF6B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C3EE57-69DC-4FA2-B279-752A052E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409"/>
    <w:rPr>
      <w:rFonts w:ascii="Arial" w:eastAsia="Times New Roman" w:hAnsi="Arial" w:cs="Times New Roman"/>
      <w:sz w:val="20"/>
      <w:lang w:val="ru-RU"/>
    </w:rPr>
  </w:style>
  <w:style w:type="paragraph" w:styleId="1">
    <w:name w:val="heading 1"/>
    <w:basedOn w:val="a"/>
    <w:next w:val="a"/>
    <w:link w:val="10"/>
    <w:qFormat/>
    <w:rsid w:val="00635409"/>
    <w:pPr>
      <w:keepNext/>
      <w:keepLines/>
      <w:spacing w:before="100" w:beforeAutospacing="1" w:after="100" w:afterAutospacing="1"/>
      <w:outlineLvl w:val="0"/>
    </w:pPr>
    <w:rPr>
      <w:rFonts w:eastAsia="Calibr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5409"/>
    <w:rPr>
      <w:rFonts w:ascii="Arial" w:eastAsia="Calibri" w:hAnsi="Arial" w:cs="Times New Roman"/>
      <w:b/>
      <w:sz w:val="20"/>
      <w:szCs w:val="32"/>
      <w:lang w:val="ru-RU"/>
    </w:rPr>
  </w:style>
  <w:style w:type="paragraph" w:styleId="a3">
    <w:name w:val="footer"/>
    <w:basedOn w:val="a"/>
    <w:link w:val="a4"/>
    <w:rsid w:val="00635409"/>
    <w:pPr>
      <w:tabs>
        <w:tab w:val="center" w:pos="4677"/>
        <w:tab w:val="right" w:pos="9355"/>
      </w:tabs>
    </w:pPr>
    <w:rPr>
      <w:rFonts w:ascii="Calibri" w:hAnsi="Calibri"/>
      <w:sz w:val="22"/>
      <w:lang w:val="uk-UA"/>
    </w:rPr>
  </w:style>
  <w:style w:type="character" w:customStyle="1" w:styleId="a4">
    <w:name w:val="Нижний колонтитул Знак"/>
    <w:basedOn w:val="a0"/>
    <w:link w:val="a3"/>
    <w:rsid w:val="00635409"/>
    <w:rPr>
      <w:rFonts w:ascii="Calibri" w:eastAsia="Times New Roman" w:hAnsi="Calibri" w:cs="Times New Roman"/>
    </w:rPr>
  </w:style>
  <w:style w:type="paragraph" w:styleId="a5">
    <w:name w:val="Body Text"/>
    <w:aliases w:val="B&amp;B Body Text,Body Text Char1 Char,B&amp;B Body Text Char1 Char,Body Text Char Char Char,B&amp;B Body Text Char Char Char,EHPT,Body Text2,Bodytext,AvtalBrödtext,ändrad,AvtalBrodtext,andrad,(F2),body text,contents,Szövegtörzs"/>
    <w:basedOn w:val="a"/>
    <w:link w:val="a6"/>
    <w:rsid w:val="00635409"/>
    <w:pPr>
      <w:jc w:val="left"/>
    </w:pPr>
    <w:rPr>
      <w:rFonts w:ascii="Times New Roman" w:eastAsia="Calibri" w:hAnsi="Times New Roman"/>
      <w:sz w:val="24"/>
      <w:szCs w:val="24"/>
      <w:lang w:val="uk-UA" w:eastAsia="ru-RU"/>
    </w:rPr>
  </w:style>
  <w:style w:type="character" w:customStyle="1" w:styleId="a6">
    <w:name w:val="Основной текст Знак"/>
    <w:aliases w:val="B&amp;B Body Text Знак,Body Text Char1 Char Знак,B&amp;B Body Text Char1 Char Знак,Body Text Char Char Char Знак,B&amp;B Body Text Char Char Char Знак,EHPT Знак,Body Text2 Знак,Bodytext Знак,AvtalBrödtext Знак,ändrad Знак,AvtalBrodtext Знак"/>
    <w:basedOn w:val="a0"/>
    <w:link w:val="a5"/>
    <w:rsid w:val="00635409"/>
    <w:rPr>
      <w:rFonts w:ascii="Times New Roman" w:eastAsia="Calibri" w:hAnsi="Times New Roman" w:cs="Times New Roman"/>
      <w:sz w:val="24"/>
      <w:szCs w:val="24"/>
      <w:lang w:eastAsia="ru-RU"/>
    </w:rPr>
  </w:style>
  <w:style w:type="paragraph" w:styleId="a7">
    <w:name w:val="Normal (Web)"/>
    <w:basedOn w:val="a"/>
    <w:uiPriority w:val="99"/>
    <w:semiHidden/>
    <w:unhideWhenUsed/>
    <w:rsid w:val="000170FF"/>
    <w:pPr>
      <w:spacing w:before="100" w:beforeAutospacing="1" w:after="100" w:afterAutospacing="1"/>
      <w:jc w:val="left"/>
    </w:pPr>
    <w:rPr>
      <w:rFonts w:ascii="Times New Roman" w:hAnsi="Times New Roman"/>
      <w:sz w:val="24"/>
      <w:szCs w:val="24"/>
      <w:lang w:val="uk-UA" w:eastAsia="uk-UA"/>
    </w:rPr>
  </w:style>
  <w:style w:type="character" w:styleId="a8">
    <w:name w:val="Hyperlink"/>
    <w:basedOn w:val="a0"/>
    <w:uiPriority w:val="99"/>
    <w:semiHidden/>
    <w:unhideWhenUsed/>
    <w:rsid w:val="004D3534"/>
    <w:rPr>
      <w:color w:val="0000FF"/>
      <w:u w:val="single"/>
    </w:rPr>
  </w:style>
  <w:style w:type="paragraph" w:customStyle="1" w:styleId="11">
    <w:name w:val="Абзац списка1"/>
    <w:basedOn w:val="a"/>
    <w:rsid w:val="003170DA"/>
    <w:pPr>
      <w:ind w:left="720"/>
      <w:contextualSpacing/>
    </w:pPr>
  </w:style>
  <w:style w:type="paragraph" w:customStyle="1" w:styleId="ListParagraph1">
    <w:name w:val="List Paragraph1"/>
    <w:basedOn w:val="a"/>
    <w:rsid w:val="00F957F9"/>
    <w:pPr>
      <w:spacing w:after="0"/>
      <w:ind w:left="708"/>
    </w:pPr>
  </w:style>
  <w:style w:type="paragraph" w:styleId="a9">
    <w:name w:val="List Paragraph"/>
    <w:basedOn w:val="a"/>
    <w:uiPriority w:val="34"/>
    <w:qFormat/>
    <w:rsid w:val="003B48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15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2045</Words>
  <Characters>11662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Устенко Ирина</dc:creator>
  <cp:keywords/>
  <dc:description/>
  <cp:lastModifiedBy>Довбыш Дмитрий</cp:lastModifiedBy>
  <cp:revision>2</cp:revision>
  <dcterms:created xsi:type="dcterms:W3CDTF">2018-05-07T06:46:00Z</dcterms:created>
  <dcterms:modified xsi:type="dcterms:W3CDTF">2018-05-07T06:46:00Z</dcterms:modified>
</cp:coreProperties>
</file>